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75FC1">
      <w:pPr>
        <w:spacing w:line="560" w:lineRule="exact"/>
        <w:ind w:firstLine="640" w:firstLineChars="200"/>
        <w:jc w:val="left"/>
        <w:rPr>
          <w:rFonts w:ascii="黑体" w:hAnsi="黑体" w:eastAsia="黑体"/>
          <w:color w:val="000000"/>
          <w:sz w:val="32"/>
          <w:szCs w:val="32"/>
          <w:highlight w:val="none"/>
        </w:rPr>
      </w:pPr>
      <w:bookmarkStart w:id="0" w:name="_Toc20384570"/>
      <w:r>
        <w:rPr>
          <w:rFonts w:hint="eastAsia" w:ascii="黑体" w:hAnsi="黑体" w:eastAsia="黑体"/>
          <w:color w:val="000000"/>
          <w:sz w:val="32"/>
          <w:szCs w:val="32"/>
          <w:highlight w:val="none"/>
        </w:rPr>
        <w:t>需求清单</w:t>
      </w:r>
    </w:p>
    <w:p w14:paraId="72ECA058">
      <w:pPr>
        <w:spacing w:line="560" w:lineRule="exact"/>
        <w:ind w:firstLine="640" w:firstLineChars="200"/>
        <w:jc w:val="left"/>
        <w:rPr>
          <w:rFonts w:ascii="楷体" w:hAnsi="楷体" w:eastAsia="楷体"/>
          <w:color w:val="000000"/>
          <w:sz w:val="32"/>
          <w:szCs w:val="32"/>
        </w:rPr>
      </w:pPr>
      <w:r>
        <w:rPr>
          <w:rFonts w:hint="eastAsia" w:ascii="楷体" w:hAnsi="楷体" w:eastAsia="楷体"/>
          <w:color w:val="000000"/>
          <w:sz w:val="32"/>
          <w:szCs w:val="32"/>
        </w:rPr>
        <w:t>（一）项目概况</w:t>
      </w:r>
      <w:bookmarkStart w:id="1" w:name="_GoBack"/>
      <w:bookmarkEnd w:id="1"/>
    </w:p>
    <w:p w14:paraId="1E07F90D">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图书馆承载着为师生提供图书阅览服务及学习的公共空间功能，也是学生在校期间停留时间相对较长的场所，空间利用率较高。不过，在实际使用过程中，图书馆在空间物理环境及人性化设计等诸多方面存在不足之处。一是读者安全用电问题：随着生活水平的提高，读者手中的电子设备增多，到图书馆主要学习行为离不开手机和电脑等电子设备。二是照明环境问题：随着图书馆使用年限的增加，原本顶部的照明条件已不能满足国家标准要求的照度水平，在阴雨天或者光照条件不好时，对学习影响较大。三是图书馆阅览室的阅览桌已使用近20年，且使用率较高，桌面出现划痕、破损、掉皮等现象，直接影响读者的阅读体验。</w:t>
      </w:r>
    </w:p>
    <w:p w14:paraId="6792B24A">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本项目旨在提高图书馆的整体环境品质，充分发挥图书馆综合功能，满足师生对图书馆不断变化的新要求。此次项目主要是对图书馆内部分借阅室的阅览桌面板进行更换，并在阅览桌上安装智能阅览灯、电源插座等设备，通过管理系统与本馆座位管理系统进行联动，在解决图书馆阅览区读者用电、照明等问题的同时，实现安全用电，给读者提供一个更为舒适安全的学习环境。</w:t>
      </w:r>
    </w:p>
    <w:p w14:paraId="26430267">
      <w:pPr>
        <w:numPr>
          <w:ilvl w:val="0"/>
          <w:numId w:val="1"/>
        </w:numPr>
        <w:spacing w:line="560" w:lineRule="exact"/>
        <w:ind w:firstLine="640" w:firstLineChars="200"/>
        <w:jc w:val="left"/>
        <w:rPr>
          <w:rFonts w:hint="eastAsia" w:ascii="楷体" w:hAnsi="楷体" w:eastAsia="楷体"/>
          <w:color w:val="000000"/>
          <w:sz w:val="32"/>
          <w:szCs w:val="32"/>
        </w:rPr>
      </w:pPr>
      <w:r>
        <w:rPr>
          <w:rFonts w:hint="eastAsia" w:ascii="楷体" w:hAnsi="楷体" w:eastAsia="楷体"/>
          <w:color w:val="000000"/>
          <w:sz w:val="32"/>
          <w:szCs w:val="32"/>
        </w:rPr>
        <w:t>采购项目预（概）算是否已落实</w:t>
      </w:r>
    </w:p>
    <w:p w14:paraId="60463DE0">
      <w:pPr>
        <w:numPr>
          <w:ilvl w:val="0"/>
          <w:numId w:val="0"/>
        </w:numPr>
        <w:spacing w:line="560" w:lineRule="exact"/>
        <w:jc w:val="left"/>
        <w:rPr>
          <w:rFonts w:hint="default" w:ascii="楷体" w:hAnsi="楷体" w:eastAsia="楷体"/>
          <w:color w:val="000000"/>
          <w:sz w:val="32"/>
          <w:szCs w:val="32"/>
          <w:lang w:val="en-US" w:eastAsia="zh-CN"/>
        </w:rPr>
      </w:pPr>
      <w:r>
        <w:rPr>
          <w:rFonts w:hint="eastAsia" w:ascii="楷体" w:hAnsi="楷体" w:eastAsia="楷体"/>
          <w:color w:val="000000"/>
          <w:sz w:val="32"/>
          <w:szCs w:val="32"/>
          <w:lang w:val="en-US" w:eastAsia="zh-CN"/>
        </w:rPr>
        <w:t xml:space="preserve">          是</w:t>
      </w:r>
    </w:p>
    <w:p w14:paraId="47A85286">
      <w:pPr>
        <w:numPr>
          <w:ilvl w:val="0"/>
          <w:numId w:val="1"/>
        </w:numPr>
        <w:spacing w:line="560" w:lineRule="exact"/>
        <w:ind w:firstLine="640" w:firstLineChars="200"/>
        <w:jc w:val="left"/>
        <w:rPr>
          <w:rFonts w:hint="eastAsia" w:ascii="楷体" w:hAnsi="楷体" w:eastAsia="楷体"/>
          <w:color w:val="000000"/>
          <w:sz w:val="32"/>
          <w:szCs w:val="32"/>
        </w:rPr>
      </w:pPr>
      <w:r>
        <w:rPr>
          <w:rFonts w:hint="eastAsia" w:ascii="楷体" w:hAnsi="楷体" w:eastAsia="楷体"/>
          <w:color w:val="000000"/>
          <w:sz w:val="32"/>
          <w:szCs w:val="32"/>
        </w:rPr>
        <w:t>采购项目预（概）算</w:t>
      </w:r>
    </w:p>
    <w:p w14:paraId="794B7B21">
      <w:pPr>
        <w:spacing w:line="560" w:lineRule="exact"/>
        <w:ind w:firstLine="640" w:firstLineChars="200"/>
        <w:jc w:val="left"/>
        <w:rPr>
          <w:rFonts w:ascii="楷体" w:hAnsi="楷体" w:eastAsia="楷体"/>
          <w:color w:val="000000"/>
          <w:sz w:val="32"/>
          <w:szCs w:val="32"/>
          <w:u w:val="single"/>
        </w:rPr>
      </w:pPr>
      <w:r>
        <w:rPr>
          <w:rFonts w:ascii="楷体" w:hAnsi="楷体" w:eastAsia="楷体"/>
          <w:color w:val="000000"/>
          <w:sz w:val="32"/>
          <w:szCs w:val="32"/>
        </w:rPr>
        <w:t>总预</w:t>
      </w:r>
      <w:r>
        <w:rPr>
          <w:rFonts w:hint="eastAsia" w:ascii="楷体" w:hAnsi="楷体" w:eastAsia="楷体"/>
          <w:color w:val="000000"/>
          <w:sz w:val="32"/>
          <w:szCs w:val="32"/>
        </w:rPr>
        <w:t>（概）</w:t>
      </w:r>
      <w:r>
        <w:rPr>
          <w:rFonts w:ascii="楷体" w:hAnsi="楷体" w:eastAsia="楷体"/>
          <w:color w:val="000000"/>
          <w:sz w:val="32"/>
          <w:szCs w:val="32"/>
        </w:rPr>
        <w:t>算</w:t>
      </w:r>
      <w:r>
        <w:rPr>
          <w:rFonts w:hint="eastAsia" w:ascii="楷体" w:hAnsi="楷体" w:eastAsia="楷体"/>
          <w:color w:val="000000"/>
          <w:sz w:val="32"/>
          <w:szCs w:val="32"/>
        </w:rPr>
        <w:t>：</w:t>
      </w:r>
      <w:r>
        <w:rPr>
          <w:rFonts w:hint="eastAsia" w:ascii="楷体" w:hAnsi="楷体" w:eastAsia="楷体"/>
          <w:color w:val="000000"/>
          <w:sz w:val="32"/>
          <w:szCs w:val="32"/>
          <w:u w:val="single"/>
        </w:rPr>
        <w:t xml:space="preserve"> </w:t>
      </w:r>
      <w:r>
        <w:rPr>
          <w:rFonts w:hint="eastAsia" w:ascii="楷体" w:hAnsi="楷体" w:eastAsia="楷体"/>
          <w:color w:val="000000"/>
          <w:sz w:val="32"/>
          <w:szCs w:val="32"/>
          <w:u w:val="single"/>
          <w:lang w:val="en-US" w:eastAsia="zh-CN"/>
        </w:rPr>
        <w:t xml:space="preserve">  493100元</w:t>
      </w:r>
      <w:r>
        <w:rPr>
          <w:rFonts w:hint="eastAsia" w:ascii="楷体" w:hAnsi="楷体" w:eastAsia="楷体"/>
          <w:color w:val="000000"/>
          <w:sz w:val="32"/>
          <w:szCs w:val="32"/>
          <w:u w:val="single"/>
        </w:rPr>
        <w:t xml:space="preserve">    </w:t>
      </w:r>
    </w:p>
    <w:p w14:paraId="11E3F532">
      <w:pPr>
        <w:spacing w:line="560" w:lineRule="exact"/>
        <w:ind w:firstLine="640" w:firstLineChars="200"/>
        <w:jc w:val="left"/>
        <w:rPr>
          <w:rFonts w:ascii="楷体" w:hAnsi="楷体" w:eastAsia="楷体"/>
          <w:color w:val="000000"/>
          <w:sz w:val="32"/>
          <w:szCs w:val="32"/>
          <w:u w:val="single"/>
        </w:rPr>
      </w:pPr>
      <w:r>
        <w:rPr>
          <w:rFonts w:hint="eastAsia" w:ascii="楷体" w:hAnsi="楷体" w:eastAsia="楷体"/>
          <w:color w:val="000000"/>
          <w:sz w:val="32"/>
          <w:szCs w:val="32"/>
        </w:rPr>
        <w:t>包1预（概）算：</w:t>
      </w:r>
      <w:r>
        <w:rPr>
          <w:rFonts w:hint="eastAsia" w:ascii="楷体" w:hAnsi="楷体" w:eastAsia="楷体"/>
          <w:color w:val="000000"/>
          <w:sz w:val="32"/>
          <w:szCs w:val="32"/>
          <w:u w:val="single"/>
        </w:rPr>
        <w:t xml:space="preserve"> </w:t>
      </w:r>
      <w:r>
        <w:rPr>
          <w:rFonts w:hint="eastAsia" w:ascii="楷体" w:hAnsi="楷体" w:eastAsia="楷体"/>
          <w:color w:val="000000"/>
          <w:sz w:val="32"/>
          <w:szCs w:val="32"/>
          <w:u w:val="single"/>
          <w:lang w:val="en-US" w:eastAsia="zh-CN"/>
        </w:rPr>
        <w:t>493100元</w:t>
      </w:r>
      <w:r>
        <w:rPr>
          <w:rFonts w:hint="eastAsia" w:ascii="楷体" w:hAnsi="楷体" w:eastAsia="楷体"/>
          <w:color w:val="000000"/>
          <w:sz w:val="32"/>
          <w:szCs w:val="32"/>
          <w:u w:val="single"/>
        </w:rPr>
        <w:t xml:space="preserve">   </w:t>
      </w:r>
    </w:p>
    <w:p w14:paraId="74A5F6E2">
      <w:pPr>
        <w:spacing w:line="560" w:lineRule="exact"/>
        <w:ind w:firstLine="640" w:firstLineChars="200"/>
        <w:jc w:val="left"/>
        <w:rPr>
          <w:rFonts w:hint="eastAsia" w:ascii="楷体" w:hAnsi="楷体" w:eastAsia="楷体"/>
          <w:color w:val="000000"/>
          <w:sz w:val="32"/>
          <w:szCs w:val="32"/>
        </w:rPr>
      </w:pPr>
      <w:r>
        <w:rPr>
          <w:rFonts w:hint="eastAsia" w:ascii="楷体" w:hAnsi="楷体" w:eastAsia="楷体"/>
          <w:color w:val="000000"/>
          <w:sz w:val="32"/>
          <w:szCs w:val="32"/>
        </w:rPr>
        <w:t>（三）采购标的汇总表</w:t>
      </w:r>
    </w:p>
    <w:tbl>
      <w:tblPr>
        <w:tblStyle w:val="7"/>
        <w:tblW w:w="883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540"/>
        <w:gridCol w:w="2655"/>
        <w:gridCol w:w="1545"/>
        <w:gridCol w:w="885"/>
        <w:gridCol w:w="780"/>
        <w:gridCol w:w="825"/>
        <w:gridCol w:w="1080"/>
      </w:tblGrid>
      <w:tr w14:paraId="6726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BEA6">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包号</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A527">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序号</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C2C9">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标的名称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5201">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品目分类编码</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587D">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计量单位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6798">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E80F">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单价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F731">
            <w:pPr>
              <w:spacing w:line="560" w:lineRule="exact"/>
              <w:jc w:val="center"/>
              <w:rPr>
                <w:rFonts w:hint="eastAsia" w:ascii="仿宋" w:hAnsi="仿宋" w:eastAsia="仿宋" w:cs="Times New Roman"/>
                <w:b/>
                <w:color w:val="000000"/>
                <w:sz w:val="28"/>
                <w:szCs w:val="28"/>
              </w:rPr>
            </w:pPr>
            <w:r>
              <w:rPr>
                <w:rFonts w:hint="eastAsia" w:ascii="仿宋" w:hAnsi="仿宋" w:eastAsia="仿宋" w:cs="Times New Roman"/>
                <w:b/>
                <w:color w:val="000000"/>
                <w:sz w:val="28"/>
                <w:szCs w:val="28"/>
                <w:lang w:val="en-US" w:eastAsia="zh-CN"/>
              </w:rPr>
              <w:t>预(概)算</w:t>
            </w:r>
          </w:p>
        </w:tc>
      </w:tr>
      <w:tr w14:paraId="5E5CA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A1C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14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31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双人位智能阅览灯</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088C">
            <w:pPr>
              <w:keepNext w:val="0"/>
              <w:keepLines w:val="0"/>
              <w:widowControl/>
              <w:suppressLineNumbers w:val="0"/>
              <w:jc w:val="left"/>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color w:val="000000"/>
                <w:kern w:val="0"/>
                <w:sz w:val="28"/>
                <w:szCs w:val="28"/>
                <w:lang w:val="en-US" w:eastAsia="zh-CN" w:bidi="ar"/>
              </w:rPr>
              <w:t>A02061908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7E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台套</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4F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355</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21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700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5E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248500</w:t>
            </w:r>
          </w:p>
        </w:tc>
      </w:tr>
      <w:tr w14:paraId="7D65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896E">
            <w:pPr>
              <w:jc w:val="center"/>
              <w:rPr>
                <w:rFonts w:hint="eastAsia" w:asciiTheme="minorEastAsia" w:hAnsiTheme="minorEastAsia" w:eastAsiaTheme="minorEastAsia" w:cstheme="minorEastAsia"/>
                <w:i w:val="0"/>
                <w:iCs w:val="0"/>
                <w:color w:val="000000"/>
                <w:sz w:val="28"/>
                <w:szCs w:val="2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A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2</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05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四人位智能阅览灯架</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C2ED">
            <w:pPr>
              <w:keepNext w:val="0"/>
              <w:keepLines w:val="0"/>
              <w:widowControl/>
              <w:suppressLineNumbers w:val="0"/>
              <w:jc w:val="left"/>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color w:val="000000"/>
                <w:kern w:val="0"/>
                <w:sz w:val="28"/>
                <w:szCs w:val="28"/>
                <w:lang w:val="en-US" w:eastAsia="zh-CN" w:bidi="ar"/>
              </w:rPr>
              <w:t>A02061908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22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台套</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13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80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D5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2B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160000</w:t>
            </w:r>
          </w:p>
        </w:tc>
      </w:tr>
      <w:tr w14:paraId="7665C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ECFFF">
            <w:pPr>
              <w:jc w:val="center"/>
              <w:rPr>
                <w:rFonts w:hint="eastAsia" w:asciiTheme="minorEastAsia" w:hAnsiTheme="minorEastAsia" w:eastAsiaTheme="minorEastAsia" w:cstheme="minorEastAsia"/>
                <w:i w:val="0"/>
                <w:iCs w:val="0"/>
                <w:color w:val="000000"/>
                <w:sz w:val="28"/>
                <w:szCs w:val="2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5B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3</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1F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四人位阅览桌</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247C">
            <w:pPr>
              <w:keepNext w:val="0"/>
              <w:keepLines w:val="0"/>
              <w:widowControl/>
              <w:suppressLineNumbers w:val="0"/>
              <w:jc w:val="left"/>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color w:val="000000"/>
                <w:kern w:val="0"/>
                <w:sz w:val="28"/>
                <w:szCs w:val="28"/>
                <w:lang w:val="en-US" w:eastAsia="zh-CN" w:bidi="ar"/>
              </w:rPr>
              <w:t>A05010299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1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张</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17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A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1600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48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12800</w:t>
            </w:r>
          </w:p>
        </w:tc>
      </w:tr>
      <w:tr w14:paraId="00A68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9F67C">
            <w:pPr>
              <w:jc w:val="center"/>
              <w:rPr>
                <w:rFonts w:hint="eastAsia" w:asciiTheme="minorEastAsia" w:hAnsiTheme="minorEastAsia" w:eastAsiaTheme="minorEastAsia" w:cstheme="minorEastAsia"/>
                <w:i w:val="0"/>
                <w:iCs w:val="0"/>
                <w:color w:val="000000"/>
                <w:sz w:val="28"/>
                <w:szCs w:val="2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4E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4</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CA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六人位阅览桌面板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E56A">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A07010209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1C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张</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76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140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26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230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3D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32200</w:t>
            </w:r>
          </w:p>
        </w:tc>
      </w:tr>
      <w:tr w14:paraId="5DD8B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DCDA5">
            <w:pPr>
              <w:jc w:val="center"/>
              <w:rPr>
                <w:rFonts w:hint="eastAsia" w:asciiTheme="minorEastAsia" w:hAnsiTheme="minorEastAsia" w:eastAsiaTheme="minorEastAsia" w:cstheme="minorEastAsia"/>
                <w:i w:val="0"/>
                <w:iCs w:val="0"/>
                <w:color w:val="000000"/>
                <w:sz w:val="28"/>
                <w:szCs w:val="2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EB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5</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1F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四人位阅览桌面板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6E9D">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A07010209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88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张</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F4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48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202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200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C3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9600</w:t>
            </w:r>
          </w:p>
        </w:tc>
      </w:tr>
      <w:tr w14:paraId="00807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48908">
            <w:pPr>
              <w:jc w:val="center"/>
              <w:rPr>
                <w:rFonts w:hint="eastAsia" w:asciiTheme="minorEastAsia" w:hAnsiTheme="minorEastAsia" w:eastAsiaTheme="minorEastAsia" w:cstheme="minorEastAsia"/>
                <w:i w:val="0"/>
                <w:iCs w:val="0"/>
                <w:color w:val="000000"/>
                <w:sz w:val="28"/>
                <w:szCs w:val="2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1B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6</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10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地面处理</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7E55">
            <w:pPr>
              <w:keepNext w:val="0"/>
              <w:keepLines w:val="0"/>
              <w:widowControl/>
              <w:suppressLineNumbers w:val="0"/>
              <w:jc w:val="left"/>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color w:val="000000"/>
                <w:kern w:val="0"/>
                <w:sz w:val="28"/>
                <w:szCs w:val="28"/>
                <w:lang w:val="en-US" w:eastAsia="zh-CN" w:bidi="ar"/>
              </w:rPr>
              <w:t>B07000000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23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米</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6E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500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A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60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07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30000</w:t>
            </w:r>
          </w:p>
        </w:tc>
      </w:tr>
    </w:tbl>
    <w:p w14:paraId="79A8E137">
      <w:pPr>
        <w:spacing w:line="560" w:lineRule="exact"/>
        <w:ind w:firstLine="640" w:firstLineChars="200"/>
        <w:jc w:val="left"/>
        <w:rPr>
          <w:rFonts w:ascii="楷体" w:hAnsi="楷体" w:eastAsia="楷体"/>
          <w:color w:val="000000"/>
          <w:sz w:val="32"/>
          <w:szCs w:val="32"/>
        </w:rPr>
      </w:pPr>
      <w:r>
        <w:rPr>
          <w:rFonts w:hint="eastAsia" w:ascii="楷体" w:hAnsi="楷体" w:eastAsia="楷体"/>
          <w:color w:val="000000"/>
          <w:sz w:val="32"/>
          <w:szCs w:val="32"/>
        </w:rPr>
        <w:t>（四）技术商务要求</w:t>
      </w:r>
    </w:p>
    <w:p w14:paraId="211DFD1E">
      <w:pPr>
        <w:spacing w:line="560" w:lineRule="exact"/>
        <w:ind w:firstLine="640" w:firstLineChars="200"/>
        <w:jc w:val="left"/>
        <w:rPr>
          <w:rFonts w:ascii="仿宋" w:hAnsi="仿宋" w:eastAsia="仿宋"/>
          <w:color w:val="000000"/>
          <w:sz w:val="32"/>
          <w:szCs w:val="32"/>
        </w:rPr>
      </w:pPr>
      <w:r>
        <w:rPr>
          <w:rFonts w:hint="eastAsia" w:ascii="仿宋" w:hAnsi="仿宋" w:eastAsia="仿宋"/>
          <w:color w:val="000000"/>
          <w:sz w:val="32"/>
          <w:szCs w:val="32"/>
        </w:rPr>
        <w:t>1.包1</w:t>
      </w:r>
    </w:p>
    <w:p w14:paraId="5D0E2C57">
      <w:pPr>
        <w:spacing w:line="560" w:lineRule="exact"/>
        <w:ind w:firstLine="640" w:firstLineChars="200"/>
        <w:jc w:val="left"/>
        <w:rPr>
          <w:rFonts w:ascii="仿宋" w:hAnsi="仿宋" w:eastAsia="仿宋"/>
          <w:color w:val="000000"/>
          <w:sz w:val="32"/>
          <w:szCs w:val="32"/>
        </w:rPr>
      </w:pPr>
      <w:r>
        <w:rPr>
          <w:rFonts w:hint="eastAsia" w:ascii="仿宋" w:hAnsi="仿宋" w:eastAsia="仿宋"/>
          <w:color w:val="000000"/>
          <w:sz w:val="32"/>
          <w:szCs w:val="32"/>
        </w:rPr>
        <w:t>（1）技术要求</w:t>
      </w:r>
    </w:p>
    <w:tbl>
      <w:tblPr>
        <w:tblStyle w:val="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741"/>
        <w:gridCol w:w="7761"/>
      </w:tblGrid>
      <w:tr w14:paraId="1BB5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5C03C1C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序号</w:t>
            </w:r>
          </w:p>
        </w:tc>
        <w:tc>
          <w:tcPr>
            <w:tcW w:w="409" w:type="pct"/>
            <w:noWrap w:val="0"/>
            <w:vAlign w:val="center"/>
          </w:tcPr>
          <w:p w14:paraId="22CB41F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sz w:val="24"/>
                <w:szCs w:val="24"/>
              </w:rPr>
            </w:pPr>
            <w:r>
              <w:rPr>
                <w:rFonts w:hint="eastAsia" w:ascii="宋体" w:hAnsi="宋体"/>
                <w:sz w:val="24"/>
                <w:szCs w:val="24"/>
              </w:rPr>
              <w:t>货物名称</w:t>
            </w:r>
          </w:p>
        </w:tc>
        <w:tc>
          <w:tcPr>
            <w:tcW w:w="4288" w:type="pct"/>
            <w:noWrap w:val="0"/>
            <w:vAlign w:val="center"/>
          </w:tcPr>
          <w:p w14:paraId="5E38AE8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sz w:val="24"/>
                <w:szCs w:val="24"/>
              </w:rPr>
            </w:pPr>
            <w:r>
              <w:rPr>
                <w:rFonts w:hint="eastAsia" w:ascii="宋体" w:hAnsi="宋体"/>
                <w:sz w:val="24"/>
                <w:szCs w:val="24"/>
              </w:rPr>
              <w:t>技术要求</w:t>
            </w:r>
          </w:p>
        </w:tc>
      </w:tr>
      <w:tr w14:paraId="43C9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02" w:type="pct"/>
            <w:noWrap w:val="0"/>
            <w:vAlign w:val="center"/>
          </w:tcPr>
          <w:p w14:paraId="609104C9">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1</w:t>
            </w:r>
          </w:p>
        </w:tc>
        <w:tc>
          <w:tcPr>
            <w:tcW w:w="409" w:type="pct"/>
            <w:noWrap w:val="0"/>
            <w:vAlign w:val="center"/>
          </w:tcPr>
          <w:p w14:paraId="0F5BFEE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双人位智能阅览灯</w:t>
            </w:r>
          </w:p>
        </w:tc>
        <w:tc>
          <w:tcPr>
            <w:tcW w:w="4288" w:type="pct"/>
            <w:noWrap w:val="0"/>
            <w:vAlign w:val="center"/>
          </w:tcPr>
          <w:p w14:paraId="43BBD514">
            <w:pPr>
              <w:numPr>
                <w:ilvl w:val="0"/>
                <w:numId w:val="0"/>
              </w:numPr>
              <w:jc w:val="both"/>
              <w:rPr>
                <w:rFonts w:hint="eastAsia" w:ascii="宋体" w:hAnsi="宋体" w:eastAsia="宋体" w:cs="宋体"/>
                <w:color w:val="auto"/>
                <w:sz w:val="24"/>
                <w:szCs w:val="24"/>
                <w:lang w:val="en-US" w:eastAsia="zh-CN"/>
              </w:rPr>
            </w:pPr>
            <w:r>
              <w:rPr>
                <w:rFonts w:hint="eastAsia" w:ascii="宋体" w:hAnsi="宋体" w:cs="宋体"/>
                <w:sz w:val="24"/>
                <w:szCs w:val="24"/>
              </w:rPr>
              <w:t>1</w:t>
            </w:r>
            <w:r>
              <w:rPr>
                <w:rFonts w:hint="eastAsia" w:ascii="宋体" w:hAnsi="宋体" w:eastAsia="宋体" w:cs="宋体"/>
                <w:color w:val="auto"/>
                <w:sz w:val="24"/>
                <w:szCs w:val="24"/>
                <w:lang w:val="en-US" w:eastAsia="zh-CN"/>
              </w:rPr>
              <w:t>.主体为金属材质，表面古铜色喷漆处理，产品整体高度≥450mm，圆底盘直径≤200mm。</w:t>
            </w:r>
          </w:p>
          <w:p w14:paraId="3F887407">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2.灯罩颜色采用浅色，PC材质，直径不小于350mm。</w:t>
            </w:r>
          </w:p>
          <w:p w14:paraId="34979911">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3.台灯上需配备LED灯*2、触控开关*2、国标电源插座*2、USB-A和USB-C插座*2。</w:t>
            </w:r>
          </w:p>
          <w:p w14:paraId="50D0A679">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4.每个灯的功率≥8W，功率因数≥0.92，色温≥4000K，显色指数≥90，闪烁百分比≤1%，桌面照度≥550Lx。</w:t>
            </w:r>
          </w:p>
          <w:p w14:paraId="087FC6BA">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5.触控开关可独立进行灯光亮度调节和开关操作。</w:t>
            </w:r>
          </w:p>
          <w:p w14:paraId="6B3670D5">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6.插座需具有过载保护功能，当插座上使用的设备功率超过设定的阈值时，插座能够自动切断电源。</w:t>
            </w:r>
          </w:p>
          <w:p w14:paraId="667FAF8B">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7.电源模块产品标准和技术要求需符合GB 1002-2024。</w:t>
            </w:r>
          </w:p>
          <w:p w14:paraId="31F2E4F9">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8.LED 模块符合 GB/T 24825-2022《 LED 模块用直流或交流电子控制装置性能规范》能效等级测试。</w:t>
            </w:r>
          </w:p>
          <w:p w14:paraId="0E6551CD">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9.整灯产品标准和技术符合GB17625.1-2022、GB/T17743-2021、GB4943.1-2022、GB/T 9254.1-2021、GB1002-2024、GB2099.7-2024。</w:t>
            </w:r>
          </w:p>
          <w:p w14:paraId="0FA16A05">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10.提供配套网关设备，提供配套强弱电的安装与调试，要求配备单独配电箱，所使用电线、网线等材料需采用符合国标的产品，且地面区域的管线需铺设在地面以下。</w:t>
            </w:r>
          </w:p>
          <w:p w14:paraId="0128C4C6">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需提供配套的智能阅览灯管理系统，对阅览灯及电源插座等设备进行统一管理，且该管理系统需要与图书馆现有座位预约系统（品牌：利昂软件）做对接，对接后实现与座位预约系统的联动，包括座位预约成功签到后电源自动接通、结束使用座位后自动断电、在现有座位预约系统查询灯架绑定信息等功能。对接后实现在座位预约系统中可以配置以下功能：</w:t>
            </w:r>
          </w:p>
          <w:p w14:paraId="74BD7346">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①对阅览灯设备进行管理，管理员通过后台可查看阅览灯过载记录；可对设备进行添加和更改，可以对单个设备或多个设备批量设置用电功率，超载自动断电，可在后台恢复电源供电。</w:t>
            </w:r>
          </w:p>
          <w:p w14:paraId="14D740CB">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②系统后台可以监控各个区域阅览灯使用情况，可以统计各个区域的用电量情况。</w:t>
            </w:r>
          </w:p>
          <w:p w14:paraId="782BF100">
            <w:pPr>
              <w:numPr>
                <w:ilvl w:val="0"/>
                <w:numId w:val="0"/>
              </w:num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③系统后台可以对管理员分配不同管理权限和区域限制，</w:t>
            </w:r>
          </w:p>
          <w:p w14:paraId="0DCED760">
            <w:pPr>
              <w:numPr>
                <w:ilvl w:val="0"/>
                <w:numId w:val="0"/>
              </w:numPr>
              <w:jc w:val="both"/>
              <w:rPr>
                <w:rFonts w:hint="eastAsia" w:ascii="宋体" w:hAnsi="宋体" w:cs="宋体"/>
                <w:color w:val="auto"/>
                <w:sz w:val="24"/>
                <w:szCs w:val="24"/>
                <w:lang w:eastAsia="zh-CN"/>
              </w:rPr>
            </w:pPr>
            <w:r>
              <w:rPr>
                <w:rFonts w:hint="eastAsia" w:ascii="宋体" w:hAnsi="宋体" w:eastAsia="宋体" w:cs="宋体"/>
                <w:color w:val="auto"/>
                <w:sz w:val="24"/>
                <w:szCs w:val="24"/>
                <w:lang w:val="en-US" w:eastAsia="zh-CN"/>
              </w:rPr>
              <w:t>④支持前端用户通过系统进行问题反馈，管理员通过后台进行回复。可以把常用问题设置为常见问题，用户可以通过前端进行查看。</w:t>
            </w:r>
          </w:p>
        </w:tc>
      </w:tr>
      <w:tr w14:paraId="0168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02" w:type="pct"/>
            <w:noWrap w:val="0"/>
            <w:vAlign w:val="center"/>
          </w:tcPr>
          <w:p w14:paraId="18647B2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z w:val="24"/>
                <w:szCs w:val="24"/>
                <w:lang w:val="en-US" w:eastAsia="zh-CN"/>
              </w:rPr>
            </w:pPr>
            <w:r>
              <w:rPr>
                <w:rFonts w:hint="eastAsia" w:ascii="宋体" w:hAnsi="宋体"/>
                <w:sz w:val="24"/>
                <w:szCs w:val="24"/>
                <w:lang w:val="en-US" w:eastAsia="zh-CN"/>
              </w:rPr>
              <w:t>2</w:t>
            </w:r>
          </w:p>
        </w:tc>
        <w:tc>
          <w:tcPr>
            <w:tcW w:w="409" w:type="pct"/>
            <w:noWrap w:val="0"/>
            <w:vAlign w:val="center"/>
          </w:tcPr>
          <w:p w14:paraId="2D44CA1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四人位智能阅览灯架</w:t>
            </w:r>
          </w:p>
        </w:tc>
        <w:tc>
          <w:tcPr>
            <w:tcW w:w="4288" w:type="pct"/>
            <w:noWrap w:val="0"/>
            <w:vAlign w:val="center"/>
          </w:tcPr>
          <w:p w14:paraId="44551922">
            <w:pPr>
              <w:rPr>
                <w:rFonts w:ascii="宋体" w:hAnsi="宋体" w:cs="宋体"/>
                <w:sz w:val="24"/>
                <w:szCs w:val="24"/>
              </w:rPr>
            </w:pPr>
            <w:r>
              <w:rPr>
                <w:rFonts w:hint="eastAsia" w:ascii="宋体" w:hAnsi="宋体" w:cs="宋体"/>
                <w:sz w:val="24"/>
                <w:szCs w:val="24"/>
              </w:rPr>
              <w:t>1.灯架主体材质为铝型材，整体颜色为浅色，静电喷塑，灯架整体尺寸需匹配本馆现有阅览桌尺寸，顶部距离桌面≥450mm，整体长度≤1550mm，两个立柱中心点之间的距离≤1430mm,立柱正面≤80mm，侧面≤60mm。</w:t>
            </w:r>
          </w:p>
          <w:p w14:paraId="7C8E2CB6">
            <w:pPr>
              <w:rPr>
                <w:rFonts w:ascii="宋体" w:hAnsi="宋体" w:cs="宋体"/>
                <w:sz w:val="24"/>
                <w:szCs w:val="24"/>
              </w:rPr>
            </w:pPr>
            <w:r>
              <w:rPr>
                <w:rFonts w:hint="eastAsia" w:ascii="宋体" w:hAnsi="宋体" w:cs="宋体"/>
                <w:sz w:val="24"/>
                <w:szCs w:val="24"/>
              </w:rPr>
              <w:t>2.灯架上需配备LED灯4个，整灯功率≤48W，功率因数≥0.9，色温≥4000K，显色指数≥90，桌面照度(全部区域)≥550Lx，灯的发光面与水平面需有25度的夹角，控光面材质为PS+PA。</w:t>
            </w:r>
          </w:p>
          <w:p w14:paraId="62A3999E">
            <w:pPr>
              <w:rPr>
                <w:rFonts w:ascii="宋体" w:hAnsi="宋体" w:cs="宋体"/>
                <w:sz w:val="24"/>
                <w:szCs w:val="24"/>
              </w:rPr>
            </w:pPr>
            <w:r>
              <w:rPr>
                <w:rFonts w:hint="eastAsia" w:ascii="宋体" w:hAnsi="宋体" w:cs="宋体"/>
                <w:sz w:val="24"/>
                <w:szCs w:val="24"/>
              </w:rPr>
              <w:t>3.两端的灯柱上均需配备触控开关*2、国标电源插座*2、USB-A和USB-C插座*2。</w:t>
            </w:r>
          </w:p>
          <w:p w14:paraId="29648C1E">
            <w:pPr>
              <w:rPr>
                <w:rFonts w:ascii="宋体" w:hAnsi="宋体" w:cs="宋体"/>
                <w:sz w:val="24"/>
                <w:szCs w:val="24"/>
              </w:rPr>
            </w:pPr>
            <w:r>
              <w:rPr>
                <w:rFonts w:hint="eastAsia" w:ascii="宋体" w:hAnsi="宋体" w:cs="宋体"/>
                <w:sz w:val="24"/>
                <w:szCs w:val="24"/>
              </w:rPr>
              <w:t>4.触控开关可独立进行灯光亮度调节和开关操作。</w:t>
            </w:r>
          </w:p>
          <w:p w14:paraId="2B705E65">
            <w:pPr>
              <w:rPr>
                <w:rFonts w:ascii="宋体" w:hAnsi="宋体" w:cs="宋体"/>
                <w:sz w:val="24"/>
                <w:szCs w:val="24"/>
              </w:rPr>
            </w:pPr>
            <w:r>
              <w:rPr>
                <w:rFonts w:hint="eastAsia" w:ascii="宋体" w:hAnsi="宋体" w:cs="宋体"/>
                <w:sz w:val="24"/>
                <w:szCs w:val="24"/>
              </w:rPr>
              <w:t>5.电源插座需具有过载保护功能，当插座上使用的设备功率超过设定的阈值时，插座能够自动切断电源。</w:t>
            </w:r>
          </w:p>
          <w:p w14:paraId="3C76D658">
            <w:pPr>
              <w:rPr>
                <w:rFonts w:ascii="宋体" w:hAnsi="宋体" w:cs="宋体"/>
                <w:color w:val="auto"/>
                <w:sz w:val="24"/>
                <w:szCs w:val="24"/>
                <w:highlight w:val="none"/>
              </w:rPr>
            </w:pPr>
            <w:r>
              <w:rPr>
                <w:rFonts w:hint="eastAsia" w:ascii="宋体" w:hAnsi="宋体" w:cs="宋体"/>
                <w:color w:val="auto"/>
                <w:sz w:val="24"/>
                <w:szCs w:val="24"/>
                <w:highlight w:val="none"/>
              </w:rPr>
              <w:t>6.电源插座</w:t>
            </w:r>
            <w:r>
              <w:rPr>
                <w:rFonts w:hint="eastAsia" w:ascii="宋体" w:hAnsi="宋体" w:cs="宋体"/>
                <w:color w:val="auto"/>
                <w:sz w:val="24"/>
                <w:szCs w:val="24"/>
                <w:highlight w:val="none"/>
                <w:lang w:val="en-US" w:eastAsia="zh-CN"/>
              </w:rPr>
              <w:t>具有3C证书，</w:t>
            </w:r>
            <w:r>
              <w:rPr>
                <w:rFonts w:hint="eastAsia" w:ascii="宋体" w:hAnsi="宋体" w:cs="宋体"/>
                <w:color w:val="auto"/>
                <w:sz w:val="24"/>
                <w:szCs w:val="24"/>
                <w:highlight w:val="none"/>
              </w:rPr>
              <w:t>产品标准和技术要求符合GB 1002-2024;GB 2099.7-2024;GB17625.1-2022; GB4943.1-2022;GB/T9254.1-2021</w:t>
            </w:r>
            <w:r>
              <w:rPr>
                <w:rFonts w:hint="eastAsia" w:hAnsi="宋体" w:cs="宋体"/>
                <w:b/>
                <w:bCs/>
                <w:color w:val="auto"/>
                <w:szCs w:val="21"/>
                <w:highlight w:val="none"/>
              </w:rPr>
              <w:t>。</w:t>
            </w:r>
          </w:p>
          <w:p w14:paraId="6C678147">
            <w:pPr>
              <w:rPr>
                <w:rFonts w:ascii="宋体" w:hAnsi="宋体" w:cs="宋体"/>
                <w:color w:val="auto"/>
                <w:sz w:val="24"/>
                <w:szCs w:val="24"/>
              </w:rPr>
            </w:pPr>
            <w:r>
              <w:rPr>
                <w:rFonts w:hint="eastAsia" w:ascii="宋体" w:hAnsi="宋体" w:cs="宋体"/>
                <w:color w:val="auto"/>
                <w:sz w:val="24"/>
                <w:szCs w:val="24"/>
                <w:highlight w:val="none"/>
              </w:rPr>
              <w:t>7.整灯产品</w:t>
            </w:r>
            <w:r>
              <w:rPr>
                <w:rFonts w:hint="eastAsia" w:ascii="宋体" w:hAnsi="宋体" w:cs="宋体"/>
                <w:color w:val="auto"/>
                <w:sz w:val="24"/>
                <w:szCs w:val="24"/>
                <w:highlight w:val="none"/>
                <w:lang w:val="en-US" w:eastAsia="zh-CN"/>
              </w:rPr>
              <w:t>具有3C证书，</w:t>
            </w:r>
            <w:r>
              <w:rPr>
                <w:rFonts w:hint="eastAsia" w:ascii="宋体" w:hAnsi="宋体" w:cs="宋体"/>
                <w:color w:val="auto"/>
                <w:sz w:val="24"/>
                <w:szCs w:val="24"/>
                <w:highlight w:val="none"/>
              </w:rPr>
              <w:t>标准和技术符合GB17625.1-2022; GB/T 17743-2021;GB/T 7000. 1-2023;GB/T 7000. 201-2023，</w:t>
            </w:r>
            <w:r>
              <w:rPr>
                <w:rFonts w:hint="eastAsia" w:ascii="宋体" w:hAnsi="宋体" w:cs="宋体"/>
                <w:color w:val="auto"/>
                <w:sz w:val="24"/>
                <w:szCs w:val="24"/>
                <w:highlight w:val="none"/>
                <w:lang w:val="en-US" w:eastAsia="zh-CN"/>
              </w:rPr>
              <w:t>整灯需具有第三方检测报告，标准和技术符合</w:t>
            </w:r>
            <w:r>
              <w:rPr>
                <w:rFonts w:hint="eastAsia" w:ascii="宋体" w:hAnsi="宋体" w:cs="宋体"/>
                <w:color w:val="auto"/>
                <w:sz w:val="24"/>
                <w:szCs w:val="24"/>
                <w:highlight w:val="none"/>
              </w:rPr>
              <w:t>GB/T 31897.1-2015、GB/T 31897.201-2016、GB/T 9468-2008、GB/T 7922-2023要求。</w:t>
            </w:r>
          </w:p>
          <w:p w14:paraId="57FEA405">
            <w:pPr>
              <w:rPr>
                <w:rFonts w:ascii="宋体" w:hAnsi="宋体" w:cs="宋体"/>
                <w:sz w:val="24"/>
                <w:szCs w:val="24"/>
              </w:rPr>
            </w:pPr>
            <w:r>
              <w:rPr>
                <w:rFonts w:hint="eastAsia" w:ascii="宋体" w:hAnsi="宋体" w:cs="宋体"/>
                <w:color w:val="auto"/>
                <w:sz w:val="24"/>
                <w:szCs w:val="24"/>
              </w:rPr>
              <w:t>8.两个灯柱之间需配备挡板，可安装在阅览桌桌面上</w:t>
            </w:r>
            <w:r>
              <w:rPr>
                <w:rFonts w:hint="eastAsia" w:ascii="宋体" w:hAnsi="宋体" w:cs="宋体"/>
                <w:sz w:val="24"/>
                <w:szCs w:val="24"/>
              </w:rPr>
              <w:t>，尺寸为1200mm*300mm*5mm，材质为亚克力版(磨砂透明)。</w:t>
            </w:r>
          </w:p>
          <w:p w14:paraId="006A159D">
            <w:pPr>
              <w:rPr>
                <w:rFonts w:ascii="宋体" w:hAnsi="宋体" w:cs="宋体"/>
                <w:color w:val="000000"/>
                <w:kern w:val="0"/>
                <w:sz w:val="24"/>
                <w:szCs w:val="24"/>
                <w:lang w:bidi="ar"/>
              </w:rPr>
            </w:pPr>
            <w:r>
              <w:rPr>
                <w:rFonts w:hint="eastAsia" w:ascii="宋体" w:hAnsi="宋体" w:cs="宋体"/>
                <w:sz w:val="24"/>
                <w:szCs w:val="24"/>
              </w:rPr>
              <w:t>9.需提供配套网关设备，提供配套强弱电的安装与调试，要求配备单独配电箱，所使用电线、网线等材料需采用符合国标的产品，且地面区域的管线需铺设在地面以下。</w:t>
            </w:r>
          </w:p>
          <w:p w14:paraId="58C2A91C">
            <w:pPr>
              <w:numPr>
                <w:ilvl w:val="0"/>
                <w:numId w:val="0"/>
              </w:numPr>
              <w:jc w:val="both"/>
              <w:rPr>
                <w:rFonts w:hint="default"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10.需和双人位智能阅览灯</w:t>
            </w:r>
            <w:r>
              <w:rPr>
                <w:rFonts w:hint="eastAsia" w:ascii="宋体" w:hAnsi="宋体" w:cs="宋体"/>
                <w:sz w:val="24"/>
                <w:szCs w:val="24"/>
              </w:rPr>
              <w:t>纳入同一智能阅览灯管理系统对阅览灯及电源插座等设备进行统一管理；与图书馆现有座位预约系统（品牌：利昂软件）做对接，对接后实现与座位预约系统的联动，包括签到后电源自动接通、结束后自动断电、在现有座位预约系统查询灯架绑定信息等功能。</w:t>
            </w:r>
          </w:p>
        </w:tc>
      </w:tr>
      <w:tr w14:paraId="1496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02" w:type="pct"/>
            <w:noWrap w:val="0"/>
            <w:vAlign w:val="center"/>
          </w:tcPr>
          <w:p w14:paraId="6896A91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3</w:t>
            </w:r>
          </w:p>
        </w:tc>
        <w:tc>
          <w:tcPr>
            <w:tcW w:w="409" w:type="pct"/>
            <w:noWrap w:val="0"/>
            <w:vAlign w:val="center"/>
          </w:tcPr>
          <w:p w14:paraId="1F39D32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四人位阅览桌</w:t>
            </w:r>
          </w:p>
        </w:tc>
        <w:tc>
          <w:tcPr>
            <w:tcW w:w="4288" w:type="pct"/>
            <w:noWrap w:val="0"/>
            <w:vAlign w:val="center"/>
          </w:tcPr>
          <w:p w14:paraId="47C4F6F1">
            <w:pPr>
              <w:rPr>
                <w:rFonts w:ascii="宋体" w:hAnsi="宋体" w:cs="宋体"/>
                <w:color w:val="000000"/>
                <w:kern w:val="0"/>
                <w:sz w:val="24"/>
                <w:szCs w:val="24"/>
                <w:lang w:bidi="ar"/>
              </w:rPr>
            </w:pPr>
            <w:r>
              <w:rPr>
                <w:rFonts w:hint="eastAsia" w:ascii="宋体" w:hAnsi="宋体" w:cs="宋体"/>
                <w:color w:val="000000"/>
                <w:kern w:val="0"/>
                <w:sz w:val="24"/>
                <w:szCs w:val="24"/>
                <w:lang w:bidi="ar"/>
              </w:rPr>
              <w:t>1.阅览桌为钢木结构，尺寸为1100*1600*760mm。</w:t>
            </w:r>
          </w:p>
          <w:p w14:paraId="5E236ACE">
            <w:pPr>
              <w:widowControl/>
              <w:jc w:val="left"/>
              <w:rPr>
                <w:rFonts w:ascii="宋体" w:hAnsi="宋体" w:cs="宋体"/>
                <w:color w:val="000000"/>
                <w:kern w:val="0"/>
                <w:sz w:val="24"/>
                <w:szCs w:val="24"/>
                <w:lang w:bidi="ar"/>
              </w:rPr>
            </w:pPr>
            <w:r>
              <w:rPr>
                <w:rFonts w:hint="eastAsia" w:ascii="宋体" w:hAnsi="宋体" w:cs="宋体"/>
                <w:color w:val="000000"/>
                <w:kern w:val="0"/>
                <w:sz w:val="24"/>
                <w:szCs w:val="24"/>
                <w:lang w:bidi="ar"/>
              </w:rPr>
              <w:t>2.基材：阅览桌面板采用E0优质浸渍胶膜纸饰面刨花板，符合GB/T 4897-2015、GB/T 39600-2021、GB/T 35601-2024标准。表面耐灼烧、耐干热、耐污染腐蚀、耐龟裂、耐水蒸气、耐光色牢度达到5级，表面耐磨（磨耗值）≤20mg/100r，甲醛释放量未检出，挥发性有机化合物（苯、甲苯、二甲苯）未检出，总挥发性有机化合物（TVOC)未检出，弹性模量≥3800Mpa，2h吸水厚度膨胀率≤0.3%，密度≥0.88g/cm³，板面握螺钉力 ≥2200N，板边握螺钉力≥2000N，抗菌性能金黄色葡萄球菌及大肠埃希氏菌（大肠杆菌）的抑菌率≥99.6%，平板状建筑材料及制品的燃烧性能等级达到B1（C）级。阅览桌面板颜色与本馆现有阅览桌面板颜色一致，厚度不小于25mm。</w:t>
            </w:r>
          </w:p>
          <w:p w14:paraId="16CDCA70">
            <w:pPr>
              <w:widowControl/>
              <w:jc w:val="left"/>
              <w:rPr>
                <w:rFonts w:ascii="宋体" w:hAnsi="宋体" w:cs="宋体"/>
                <w:color w:val="000000"/>
                <w:kern w:val="0"/>
                <w:sz w:val="24"/>
                <w:szCs w:val="24"/>
                <w:lang w:bidi="ar"/>
              </w:rPr>
            </w:pPr>
            <w:r>
              <w:rPr>
                <w:rFonts w:hint="eastAsia" w:ascii="宋体" w:hAnsi="宋体" w:cs="宋体"/>
                <w:color w:val="000000"/>
                <w:kern w:val="0"/>
                <w:sz w:val="24"/>
                <w:szCs w:val="24"/>
                <w:lang w:bidi="ar"/>
              </w:rPr>
              <w:t>3.封边条：采用优质PVC封边条，符合QB/T 4463-2013标准，甲醛释放量、有害物质限量未检出，厚度不小于2mm，封四边。</w:t>
            </w:r>
          </w:p>
          <w:p w14:paraId="27AE45EB">
            <w:pPr>
              <w:widowControl/>
              <w:jc w:val="left"/>
              <w:rPr>
                <w:rFonts w:ascii="宋体" w:hAnsi="宋体" w:cs="宋体"/>
                <w:color w:val="000000"/>
                <w:kern w:val="0"/>
                <w:sz w:val="24"/>
                <w:szCs w:val="24"/>
                <w:lang w:bidi="ar"/>
              </w:rPr>
            </w:pPr>
            <w:r>
              <w:rPr>
                <w:rFonts w:hint="eastAsia" w:ascii="宋体" w:hAnsi="宋体" w:cs="宋体"/>
                <w:color w:val="000000"/>
                <w:kern w:val="0"/>
                <w:sz w:val="24"/>
                <w:szCs w:val="24"/>
                <w:lang w:bidi="ar"/>
              </w:rPr>
              <w:t xml:space="preserve">4、桌面板下方的金属脚架为门字型钢脚，颜色与本馆现有阅览桌相近，其四边外沿距离桌面板外沿不少于110mm，钢脚及配件所采用的钢材均符合GB/T3325-2024、QB/T3827-1999、QB/T3832-1999标准，抗压强度≥440N，抗拉强度≥850N，抗菌性能铜绿假单胞菌抑菌率≥99.5%，具有较好的抗菌效果，中性盐雾试验时间≥595h，检验结果达到（耐腐蚀等级：10级，无锈点），铜盐加速乙酸盐雾试验时间≥595h，检验结果达到（耐腐蚀等级：10级，无锈点），乙酸盐雾试验时间≥645h，检验结果达到（耐腐蚀等级：10级，无锈点），铜加速乙酸盐雾试验时间≥595h，检验结果达到（耐腐蚀等级：10级，无锈点）。 </w:t>
            </w:r>
          </w:p>
          <w:p w14:paraId="01FE2996">
            <w:pPr>
              <w:numPr>
                <w:ilvl w:val="0"/>
                <w:numId w:val="0"/>
              </w:numPr>
              <w:jc w:val="both"/>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bidi="ar"/>
              </w:rPr>
              <w:t>5、桌面板底部带钢制书网。</w:t>
            </w:r>
          </w:p>
        </w:tc>
      </w:tr>
      <w:tr w14:paraId="6974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02" w:type="pct"/>
            <w:noWrap w:val="0"/>
            <w:vAlign w:val="center"/>
          </w:tcPr>
          <w:p w14:paraId="0461FDE1">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4</w:t>
            </w:r>
          </w:p>
        </w:tc>
        <w:tc>
          <w:tcPr>
            <w:tcW w:w="409" w:type="pct"/>
            <w:noWrap w:val="0"/>
            <w:vAlign w:val="center"/>
          </w:tcPr>
          <w:p w14:paraId="0677E05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六人位阅览桌面板</w:t>
            </w:r>
          </w:p>
        </w:tc>
        <w:tc>
          <w:tcPr>
            <w:tcW w:w="4288" w:type="pct"/>
            <w:noWrap w:val="0"/>
            <w:vAlign w:val="center"/>
          </w:tcPr>
          <w:p w14:paraId="623369A4">
            <w:pPr>
              <w:rPr>
                <w:rFonts w:ascii="宋体" w:hAnsi="宋体" w:cs="宋体"/>
                <w:color w:val="000000"/>
                <w:kern w:val="0"/>
                <w:sz w:val="24"/>
                <w:szCs w:val="24"/>
                <w:lang w:bidi="ar"/>
              </w:rPr>
            </w:pPr>
            <w:r>
              <w:rPr>
                <w:rFonts w:hint="eastAsia" w:ascii="宋体" w:hAnsi="宋体" w:cs="宋体"/>
                <w:color w:val="000000"/>
                <w:kern w:val="0"/>
                <w:sz w:val="24"/>
                <w:szCs w:val="24"/>
                <w:lang w:bidi="ar"/>
              </w:rPr>
              <w:t>1.尺寸：2100mm*1100mm，桌面板厚度≥25mm，表面颜色与本馆现有阅览桌面板颜色一致；</w:t>
            </w:r>
          </w:p>
          <w:p w14:paraId="1FFC8C0C">
            <w:pPr>
              <w:rPr>
                <w:rFonts w:ascii="宋体" w:hAnsi="宋体" w:cs="宋体"/>
                <w:color w:val="000000"/>
                <w:kern w:val="0"/>
                <w:sz w:val="24"/>
                <w:szCs w:val="24"/>
                <w:lang w:bidi="ar"/>
              </w:rPr>
            </w:pPr>
            <w:r>
              <w:rPr>
                <w:rFonts w:hint="eastAsia" w:ascii="宋体" w:hAnsi="宋体" w:cs="宋体"/>
                <w:color w:val="000000"/>
                <w:kern w:val="0"/>
                <w:sz w:val="24"/>
                <w:szCs w:val="24"/>
                <w:lang w:bidi="ar"/>
              </w:rPr>
              <w:t>2.基材采用E0级环保优质刨花板，游离甲醛释放量≤0.05mg/m³；</w:t>
            </w:r>
          </w:p>
          <w:p w14:paraId="1E1F0C70">
            <w:pPr>
              <w:rPr>
                <w:rFonts w:ascii="宋体" w:hAnsi="宋体" w:cs="宋体"/>
                <w:color w:val="000000"/>
                <w:kern w:val="0"/>
                <w:sz w:val="24"/>
                <w:szCs w:val="24"/>
                <w:lang w:bidi="ar"/>
              </w:rPr>
            </w:pPr>
            <w:r>
              <w:rPr>
                <w:rFonts w:hint="eastAsia" w:ascii="宋体" w:hAnsi="宋体" w:cs="宋体"/>
                <w:color w:val="000000"/>
                <w:kern w:val="0"/>
                <w:sz w:val="24"/>
                <w:szCs w:val="24"/>
                <w:lang w:bidi="ar"/>
              </w:rPr>
              <w:t>3.经防潮、防腐处理，相关参数达到国家标准；四周隐蔽部位全部做封边处理，封边为高品质PVC，厚度不小于2mm，不易断裂，热溶胶工艺，所有板件四封边，双饰面；</w:t>
            </w:r>
          </w:p>
          <w:p w14:paraId="75E162D1">
            <w:pPr>
              <w:rPr>
                <w:rFonts w:ascii="宋体" w:hAnsi="宋体" w:cs="宋体"/>
                <w:color w:val="000000"/>
                <w:kern w:val="0"/>
                <w:sz w:val="24"/>
                <w:szCs w:val="24"/>
                <w:lang w:bidi="ar"/>
              </w:rPr>
            </w:pPr>
            <w:r>
              <w:rPr>
                <w:rFonts w:hint="eastAsia" w:ascii="宋体" w:hAnsi="宋体" w:cs="宋体"/>
                <w:color w:val="000000"/>
                <w:kern w:val="0"/>
                <w:sz w:val="24"/>
                <w:szCs w:val="24"/>
                <w:lang w:bidi="ar"/>
              </w:rPr>
              <w:t>4.贴面采用优质三聚氰胺纸饰面，具有易清洗、防划痕等特性；</w:t>
            </w:r>
          </w:p>
          <w:p w14:paraId="591EE8CA">
            <w:pPr>
              <w:rPr>
                <w:rFonts w:ascii="宋体" w:hAnsi="宋体" w:cs="宋体"/>
                <w:color w:val="000000"/>
                <w:kern w:val="0"/>
                <w:sz w:val="24"/>
                <w:szCs w:val="24"/>
                <w:lang w:bidi="ar"/>
              </w:rPr>
            </w:pPr>
            <w:r>
              <w:rPr>
                <w:rFonts w:hint="eastAsia" w:ascii="宋体" w:hAnsi="宋体" w:cs="宋体"/>
                <w:color w:val="000000"/>
                <w:kern w:val="0"/>
                <w:sz w:val="24"/>
                <w:szCs w:val="24"/>
                <w:lang w:bidi="ar"/>
              </w:rPr>
              <w:t>5.采用优质环保粘合剂，游离甲醛、苯、甲苯+二甲苯、总挥发性有机物符合国家标准。</w:t>
            </w:r>
          </w:p>
          <w:p w14:paraId="693C3D2E">
            <w:pPr>
              <w:rPr>
                <w:rFonts w:ascii="宋体" w:hAnsi="宋体" w:cs="宋体"/>
                <w:color w:val="000000"/>
                <w:kern w:val="0"/>
                <w:sz w:val="24"/>
                <w:szCs w:val="24"/>
                <w:lang w:bidi="ar"/>
              </w:rPr>
            </w:pPr>
            <w:r>
              <w:rPr>
                <w:rFonts w:hint="eastAsia" w:ascii="宋体" w:hAnsi="宋体" w:cs="宋体"/>
                <w:color w:val="000000"/>
                <w:kern w:val="0"/>
                <w:sz w:val="24"/>
                <w:szCs w:val="24"/>
                <w:lang w:bidi="ar"/>
              </w:rPr>
              <w:t xml:space="preserve">6.按要求精准开孔，要求误差≤2mm； </w:t>
            </w:r>
          </w:p>
          <w:p w14:paraId="2D24281E">
            <w:pPr>
              <w:rPr>
                <w:rFonts w:ascii="宋体" w:hAnsi="宋体" w:cs="宋体"/>
                <w:color w:val="000000"/>
                <w:kern w:val="0"/>
                <w:sz w:val="24"/>
                <w:szCs w:val="24"/>
                <w:lang w:bidi="ar"/>
              </w:rPr>
            </w:pPr>
            <w:r>
              <w:rPr>
                <w:rFonts w:hint="eastAsia" w:ascii="宋体" w:hAnsi="宋体" w:cs="宋体"/>
                <w:color w:val="000000"/>
                <w:kern w:val="0"/>
                <w:sz w:val="24"/>
                <w:szCs w:val="24"/>
                <w:lang w:bidi="ar"/>
              </w:rPr>
              <w:t xml:space="preserve">7.将旧面板进行拆卸，放置到指定位置，将新面板按要求进行安装，并清理现场垃圾，施工时需保护地面及周边设备； </w:t>
            </w:r>
          </w:p>
          <w:p w14:paraId="42BD75D4">
            <w:pPr>
              <w:numPr>
                <w:ilvl w:val="0"/>
                <w:numId w:val="0"/>
              </w:numPr>
              <w:jc w:val="both"/>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bidi="ar"/>
              </w:rPr>
              <w:t>8.要求安装后无晃动、异响，桌面孔位与灯具匹配度100%，色差目测无明显差异。</w:t>
            </w:r>
          </w:p>
        </w:tc>
      </w:tr>
      <w:tr w14:paraId="5627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02" w:type="pct"/>
            <w:noWrap w:val="0"/>
            <w:vAlign w:val="center"/>
          </w:tcPr>
          <w:p w14:paraId="023CD8D5">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5</w:t>
            </w:r>
          </w:p>
        </w:tc>
        <w:tc>
          <w:tcPr>
            <w:tcW w:w="409" w:type="pct"/>
            <w:noWrap w:val="0"/>
            <w:vAlign w:val="center"/>
          </w:tcPr>
          <w:p w14:paraId="4DF1CCA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四人位阅览桌面板</w:t>
            </w:r>
          </w:p>
        </w:tc>
        <w:tc>
          <w:tcPr>
            <w:tcW w:w="4288" w:type="pct"/>
            <w:noWrap w:val="0"/>
            <w:vAlign w:val="center"/>
          </w:tcPr>
          <w:p w14:paraId="52170331">
            <w:pPr>
              <w:rPr>
                <w:rFonts w:ascii="宋体" w:hAnsi="宋体" w:cs="宋体"/>
                <w:color w:val="000000"/>
                <w:kern w:val="0"/>
                <w:sz w:val="24"/>
                <w:szCs w:val="24"/>
                <w:lang w:bidi="ar"/>
              </w:rPr>
            </w:pPr>
            <w:r>
              <w:rPr>
                <w:rFonts w:hint="eastAsia" w:ascii="宋体" w:hAnsi="宋体" w:cs="宋体"/>
                <w:color w:val="000000"/>
                <w:kern w:val="0"/>
                <w:sz w:val="24"/>
                <w:szCs w:val="24"/>
                <w:lang w:bidi="ar"/>
              </w:rPr>
              <w:t>1.尺寸：1600mm*1100mm，桌面板厚度≥25mm，表面颜色与本馆现有阅览桌面板颜色一致；</w:t>
            </w:r>
          </w:p>
          <w:p w14:paraId="54C9BE36">
            <w:pPr>
              <w:rPr>
                <w:rFonts w:ascii="宋体" w:hAnsi="宋体" w:cs="宋体"/>
                <w:color w:val="000000"/>
                <w:kern w:val="0"/>
                <w:sz w:val="24"/>
                <w:szCs w:val="24"/>
                <w:lang w:bidi="ar"/>
              </w:rPr>
            </w:pPr>
            <w:r>
              <w:rPr>
                <w:rFonts w:hint="eastAsia" w:ascii="宋体" w:hAnsi="宋体" w:cs="宋体"/>
                <w:color w:val="000000"/>
                <w:kern w:val="0"/>
                <w:sz w:val="24"/>
                <w:szCs w:val="24"/>
                <w:lang w:bidi="ar"/>
              </w:rPr>
              <w:t>2.基材采用E0级环保优质刨花板，游离甲醛释放量≤0.05mg/m³；</w:t>
            </w:r>
          </w:p>
          <w:p w14:paraId="46331688">
            <w:pPr>
              <w:rPr>
                <w:rFonts w:ascii="宋体" w:hAnsi="宋体" w:cs="宋体"/>
                <w:color w:val="000000"/>
                <w:kern w:val="0"/>
                <w:sz w:val="24"/>
                <w:szCs w:val="24"/>
                <w:lang w:bidi="ar"/>
              </w:rPr>
            </w:pPr>
            <w:r>
              <w:rPr>
                <w:rFonts w:hint="eastAsia" w:ascii="宋体" w:hAnsi="宋体" w:cs="宋体"/>
                <w:color w:val="000000"/>
                <w:kern w:val="0"/>
                <w:sz w:val="24"/>
                <w:szCs w:val="24"/>
                <w:lang w:bidi="ar"/>
              </w:rPr>
              <w:t>3.经防潮、防腐处理，相关参数达到国家标准；四周隐蔽部位全部做封边处理，封边为高品质PVC，厚度不小于2mm，不易断裂，热溶胶工艺，所有板件四封边，双饰面；</w:t>
            </w:r>
          </w:p>
          <w:p w14:paraId="380A40E4">
            <w:pPr>
              <w:rPr>
                <w:rFonts w:ascii="宋体" w:hAnsi="宋体" w:cs="宋体"/>
                <w:color w:val="000000"/>
                <w:kern w:val="0"/>
                <w:sz w:val="24"/>
                <w:szCs w:val="24"/>
                <w:lang w:bidi="ar"/>
              </w:rPr>
            </w:pPr>
            <w:r>
              <w:rPr>
                <w:rFonts w:hint="eastAsia" w:ascii="宋体" w:hAnsi="宋体" w:cs="宋体"/>
                <w:color w:val="000000"/>
                <w:kern w:val="0"/>
                <w:sz w:val="24"/>
                <w:szCs w:val="24"/>
                <w:lang w:bidi="ar"/>
              </w:rPr>
              <w:t>4.贴面采用优质三聚氰胺纸饰面，具有易清洗、防划痕等特性；</w:t>
            </w:r>
          </w:p>
          <w:p w14:paraId="37EB3758">
            <w:pPr>
              <w:rPr>
                <w:rFonts w:ascii="宋体" w:hAnsi="宋体" w:cs="宋体"/>
                <w:color w:val="000000"/>
                <w:kern w:val="0"/>
                <w:sz w:val="24"/>
                <w:szCs w:val="24"/>
                <w:lang w:bidi="ar"/>
              </w:rPr>
            </w:pPr>
            <w:r>
              <w:rPr>
                <w:rFonts w:hint="eastAsia" w:ascii="宋体" w:hAnsi="宋体" w:cs="宋体"/>
                <w:color w:val="000000"/>
                <w:kern w:val="0"/>
                <w:sz w:val="24"/>
                <w:szCs w:val="24"/>
                <w:lang w:bidi="ar"/>
              </w:rPr>
              <w:t>5.采用优质环保粘合剂，游离甲醛、苯、甲苯+二甲苯、总挥发性有机物符合国家标准；</w:t>
            </w:r>
          </w:p>
          <w:p w14:paraId="45FEDFA8">
            <w:pPr>
              <w:rPr>
                <w:rFonts w:ascii="宋体" w:hAnsi="宋体" w:cs="宋体"/>
                <w:color w:val="000000"/>
                <w:kern w:val="0"/>
                <w:sz w:val="24"/>
                <w:szCs w:val="24"/>
                <w:lang w:bidi="ar"/>
              </w:rPr>
            </w:pPr>
            <w:r>
              <w:rPr>
                <w:rFonts w:hint="eastAsia" w:ascii="宋体" w:hAnsi="宋体" w:cs="宋体"/>
                <w:color w:val="000000"/>
                <w:kern w:val="0"/>
                <w:sz w:val="24"/>
                <w:szCs w:val="24"/>
                <w:lang w:bidi="ar"/>
              </w:rPr>
              <w:t xml:space="preserve">6.按要求精准开孔，要求误差≤2mm； </w:t>
            </w:r>
          </w:p>
          <w:p w14:paraId="73E23590">
            <w:pPr>
              <w:rPr>
                <w:rFonts w:ascii="宋体" w:hAnsi="宋体" w:cs="宋体"/>
                <w:color w:val="000000"/>
                <w:kern w:val="0"/>
                <w:sz w:val="24"/>
                <w:szCs w:val="24"/>
                <w:lang w:bidi="ar"/>
              </w:rPr>
            </w:pPr>
            <w:r>
              <w:rPr>
                <w:rFonts w:hint="eastAsia" w:ascii="宋体" w:hAnsi="宋体" w:cs="宋体"/>
                <w:color w:val="000000"/>
                <w:kern w:val="0"/>
                <w:sz w:val="24"/>
                <w:szCs w:val="24"/>
                <w:lang w:bidi="ar"/>
              </w:rPr>
              <w:t xml:space="preserve">7.将旧面板进行拆卸，放置到指定位置，将新面板按要求进行安装，并清理现场垃圾，施工时需保护地面及周边设备； </w:t>
            </w:r>
          </w:p>
          <w:p w14:paraId="2E4D3B8E">
            <w:pPr>
              <w:numPr>
                <w:ilvl w:val="0"/>
                <w:numId w:val="0"/>
              </w:numPr>
              <w:jc w:val="both"/>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bidi="ar"/>
              </w:rPr>
              <w:t>8.要求安装后无晃动、异响，桌面孔位与灯具匹配度100%，色差目测无明显差异。</w:t>
            </w:r>
          </w:p>
        </w:tc>
      </w:tr>
      <w:tr w14:paraId="3852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02" w:type="pct"/>
            <w:noWrap w:val="0"/>
            <w:vAlign w:val="center"/>
          </w:tcPr>
          <w:p w14:paraId="0FB1C488">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6</w:t>
            </w:r>
          </w:p>
        </w:tc>
        <w:tc>
          <w:tcPr>
            <w:tcW w:w="409" w:type="pct"/>
            <w:noWrap w:val="0"/>
            <w:vAlign w:val="center"/>
          </w:tcPr>
          <w:p w14:paraId="5383D22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地面处理</w:t>
            </w:r>
          </w:p>
        </w:tc>
        <w:tc>
          <w:tcPr>
            <w:tcW w:w="4288" w:type="pct"/>
            <w:noWrap w:val="0"/>
            <w:vAlign w:val="center"/>
          </w:tcPr>
          <w:p w14:paraId="43C377B9">
            <w:pPr>
              <w:numPr>
                <w:ilvl w:val="0"/>
                <w:numId w:val="0"/>
              </w:numPr>
              <w:jc w:val="both"/>
              <w:rPr>
                <w:rFonts w:hint="default"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配合阅览灯强电安装对地面进行开槽、走线、盖板等处理，要求地面平整，盖板坚固耐磨。</w:t>
            </w:r>
          </w:p>
        </w:tc>
      </w:tr>
    </w:tbl>
    <w:p w14:paraId="1198F8F6">
      <w:pPr>
        <w:spacing w:line="560" w:lineRule="exact"/>
        <w:ind w:firstLine="640" w:firstLineChars="200"/>
        <w:jc w:val="left"/>
        <w:rPr>
          <w:rFonts w:ascii="仿宋" w:hAnsi="仿宋" w:eastAsia="仿宋"/>
          <w:color w:val="000000"/>
          <w:sz w:val="32"/>
          <w:szCs w:val="32"/>
        </w:rPr>
      </w:pPr>
      <w:r>
        <w:rPr>
          <w:rFonts w:hint="eastAsia" w:ascii="仿宋" w:hAnsi="仿宋" w:eastAsia="仿宋"/>
          <w:color w:val="000000"/>
          <w:sz w:val="32"/>
          <w:szCs w:val="32"/>
        </w:rPr>
        <w:t>（2）商务要求</w:t>
      </w:r>
    </w:p>
    <w:p w14:paraId="2C40E016">
      <w:pPr>
        <w:autoSpaceDE w:val="0"/>
        <w:autoSpaceDN w:val="0"/>
        <w:adjustRightInd w:val="0"/>
        <w:spacing w:line="360" w:lineRule="auto"/>
        <w:ind w:firstLine="480" w:firstLineChars="200"/>
        <w:rPr>
          <w:rFonts w:hint="default" w:eastAsia="宋体"/>
          <w:color w:val="000000"/>
          <w:sz w:val="24"/>
          <w:highlight w:val="none"/>
          <w:lang w:val="en-US" w:eastAsia="zh-CN"/>
        </w:rPr>
      </w:pPr>
      <w:r>
        <w:rPr>
          <w:rFonts w:hint="eastAsia"/>
          <w:color w:val="000000"/>
          <w:sz w:val="24"/>
          <w:highlight w:val="none"/>
        </w:rPr>
        <w:t>（一）报价要求</w:t>
      </w:r>
      <w:r>
        <w:rPr>
          <w:rFonts w:hint="eastAsia"/>
          <w:color w:val="000000"/>
          <w:sz w:val="24"/>
          <w:highlight w:val="none"/>
          <w:lang w:val="en-US" w:eastAsia="zh-CN"/>
        </w:rPr>
        <w:t xml:space="preserve">   </w:t>
      </w:r>
    </w:p>
    <w:p w14:paraId="344E31C8">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1. 投标报价以人民币填列。</w:t>
      </w:r>
    </w:p>
    <w:p w14:paraId="3F916FD8">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2. 投标人的报价应包括：货款、运输费、运输保险费、装卸费、安装调试费</w:t>
      </w:r>
      <w:r>
        <w:rPr>
          <w:rFonts w:hint="eastAsia"/>
          <w:color w:val="000000"/>
          <w:sz w:val="24"/>
          <w:highlight w:val="none"/>
          <w:lang w:eastAsia="zh-CN"/>
        </w:rPr>
        <w:t>、</w:t>
      </w:r>
      <w:r>
        <w:rPr>
          <w:rFonts w:hint="eastAsia" w:ascii="宋体" w:hAnsi="宋体" w:eastAsia="宋体" w:cs="宋体"/>
          <w:color w:val="auto"/>
          <w:sz w:val="24"/>
          <w:szCs w:val="24"/>
          <w:lang w:eastAsia="zh-CN"/>
        </w:rPr>
        <w:t>与现</w:t>
      </w:r>
      <w:r>
        <w:rPr>
          <w:rFonts w:hint="eastAsia" w:ascii="宋体" w:hAnsi="宋体" w:cs="宋体"/>
          <w:color w:val="auto"/>
          <w:sz w:val="24"/>
          <w:szCs w:val="24"/>
          <w:lang w:val="en-US" w:eastAsia="zh-CN"/>
        </w:rPr>
        <w:t>用管理</w:t>
      </w:r>
      <w:r>
        <w:rPr>
          <w:rFonts w:hint="eastAsia" w:ascii="宋体" w:hAnsi="宋体" w:eastAsia="宋体" w:cs="宋体"/>
          <w:color w:val="auto"/>
          <w:sz w:val="24"/>
          <w:szCs w:val="24"/>
          <w:lang w:eastAsia="zh-CN"/>
        </w:rPr>
        <w:t>系统的所有对接费用</w:t>
      </w:r>
      <w:r>
        <w:rPr>
          <w:rFonts w:hint="eastAsia"/>
          <w:color w:val="000000"/>
          <w:sz w:val="24"/>
          <w:highlight w:val="none"/>
        </w:rPr>
        <w:t>及利润税金等为完成招标文件规定的全部要求所需的一切费用。投标人所报价格为货到现场安装调试完成的最终优惠价格。</w:t>
      </w:r>
    </w:p>
    <w:p w14:paraId="46436BD0">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3. 验收及相关费用由投标人负责。</w:t>
      </w:r>
    </w:p>
    <w:p w14:paraId="039E156E">
      <w:pPr>
        <w:spacing w:line="360" w:lineRule="auto"/>
        <w:ind w:firstLine="480" w:firstLineChars="200"/>
        <w:outlineLvl w:val="0"/>
        <w:rPr>
          <w:sz w:val="24"/>
          <w:highlight w:val="none"/>
        </w:rPr>
      </w:pPr>
      <w:r>
        <w:rPr>
          <w:rFonts w:hint="eastAsia"/>
          <w:sz w:val="24"/>
          <w:highlight w:val="none"/>
        </w:rPr>
        <w:t>（二）服务要求</w:t>
      </w:r>
    </w:p>
    <w:p w14:paraId="19952C0F">
      <w:pPr>
        <w:spacing w:line="360" w:lineRule="auto"/>
        <w:ind w:firstLine="480" w:firstLineChars="200"/>
        <w:outlineLvl w:val="0"/>
        <w:rPr>
          <w:rFonts w:hint="eastAsia"/>
          <w:sz w:val="24"/>
          <w:highlight w:val="none"/>
        </w:rPr>
      </w:pPr>
      <w:r>
        <w:rPr>
          <w:rFonts w:hint="eastAsia"/>
          <w:sz w:val="24"/>
          <w:highlight w:val="none"/>
        </w:rPr>
        <w:t xml:space="preserve">1. </w:t>
      </w:r>
      <w:r>
        <w:rPr>
          <w:rFonts w:hint="eastAsia"/>
          <w:sz w:val="24"/>
          <w:highlight w:val="none"/>
          <w:lang w:val="en-US" w:eastAsia="zh-CN"/>
        </w:rPr>
        <w:t>提供所投产品三年的免费上门保修，终身维修，</w:t>
      </w:r>
      <w:r>
        <w:rPr>
          <w:rFonts w:hint="eastAsia"/>
          <w:sz w:val="24"/>
          <w:highlight w:val="none"/>
        </w:rPr>
        <w:t>质保期从项目验收合格之日算起</w:t>
      </w:r>
      <w:r>
        <w:rPr>
          <w:rFonts w:hint="eastAsia"/>
          <w:sz w:val="24"/>
          <w:highlight w:val="none"/>
          <w:lang w:eastAsia="zh-CN"/>
        </w:rPr>
        <w:t>。</w:t>
      </w:r>
      <w:r>
        <w:rPr>
          <w:rFonts w:hint="eastAsia"/>
          <w:sz w:val="24"/>
          <w:highlight w:val="none"/>
        </w:rPr>
        <w:t>保修期内免费更换零配件，7×24小时技术响应，</w:t>
      </w:r>
      <w:r>
        <w:rPr>
          <w:rFonts w:hint="eastAsia"/>
          <w:sz w:val="24"/>
          <w:highlight w:val="none"/>
          <w:lang w:val="en-US" w:eastAsia="zh-CN"/>
        </w:rPr>
        <w:t>24</w:t>
      </w:r>
      <w:r>
        <w:rPr>
          <w:rFonts w:hint="eastAsia"/>
          <w:sz w:val="24"/>
          <w:highlight w:val="none"/>
        </w:rPr>
        <w:t>小时内维修工程师到达维修现场。</w:t>
      </w:r>
    </w:p>
    <w:p w14:paraId="18AB9BD8">
      <w:pPr>
        <w:spacing w:line="360" w:lineRule="auto"/>
        <w:ind w:firstLine="480" w:firstLineChars="200"/>
        <w:outlineLvl w:val="0"/>
        <w:rPr>
          <w:rFonts w:hint="eastAsia"/>
          <w:sz w:val="24"/>
          <w:highlight w:val="none"/>
        </w:rPr>
      </w:pPr>
      <w:r>
        <w:rPr>
          <w:rFonts w:hint="eastAsia"/>
          <w:sz w:val="24"/>
          <w:highlight w:val="none"/>
          <w:lang w:val="en-US" w:eastAsia="zh-CN"/>
        </w:rPr>
        <w:t>2</w:t>
      </w:r>
      <w:r>
        <w:rPr>
          <w:rFonts w:hint="eastAsia"/>
          <w:sz w:val="24"/>
          <w:highlight w:val="none"/>
        </w:rPr>
        <w:t>. 提供原厂标准的易耗品、消耗材料价格清单及折扣率，保修期后设备维修的价格清单及折扣率。</w:t>
      </w:r>
    </w:p>
    <w:p w14:paraId="46707CF7">
      <w:pPr>
        <w:spacing w:line="360" w:lineRule="auto"/>
        <w:ind w:firstLine="480" w:firstLineChars="200"/>
        <w:outlineLvl w:val="0"/>
        <w:rPr>
          <w:sz w:val="24"/>
          <w:highlight w:val="none"/>
        </w:rPr>
      </w:pPr>
      <w:r>
        <w:rPr>
          <w:rFonts w:hint="eastAsia"/>
          <w:sz w:val="24"/>
          <w:highlight w:val="none"/>
          <w:lang w:val="en-US" w:eastAsia="zh-CN"/>
        </w:rPr>
        <w:t>3</w:t>
      </w:r>
      <w:r>
        <w:rPr>
          <w:rFonts w:hint="eastAsia"/>
          <w:sz w:val="24"/>
          <w:highlight w:val="none"/>
        </w:rPr>
        <w:t>. 中标供应商</w:t>
      </w:r>
      <w:r>
        <w:rPr>
          <w:rFonts w:hint="eastAsia"/>
        </w:rPr>
        <w:t>负责对采购人的技术人员、操作人员、维修人员进行产品的操作、维护、常用技术知识进行技术培训，使培训的操作人员按操作规程能够独立操作，培训人数按照用户需求而定。</w:t>
      </w:r>
    </w:p>
    <w:p w14:paraId="7879EEA1">
      <w:pPr>
        <w:spacing w:line="360" w:lineRule="auto"/>
        <w:ind w:firstLine="480" w:firstLineChars="200"/>
        <w:outlineLvl w:val="0"/>
        <w:rPr>
          <w:rFonts w:hint="eastAsia"/>
          <w:sz w:val="24"/>
          <w:highlight w:val="none"/>
        </w:rPr>
      </w:pPr>
      <w:r>
        <w:rPr>
          <w:rFonts w:hint="eastAsia"/>
          <w:sz w:val="24"/>
          <w:highlight w:val="none"/>
          <w:lang w:val="en-US" w:eastAsia="zh-CN"/>
        </w:rPr>
        <w:t>4</w:t>
      </w:r>
      <w:r>
        <w:rPr>
          <w:rFonts w:hint="eastAsia"/>
          <w:sz w:val="24"/>
          <w:highlight w:val="none"/>
        </w:rPr>
        <w:t>. 中标供应商</w:t>
      </w:r>
      <w:r>
        <w:rPr>
          <w:rFonts w:hint="eastAsia"/>
          <w:sz w:val="24"/>
          <w:highlight w:val="none"/>
          <w:lang w:val="en-US" w:eastAsia="zh-CN"/>
        </w:rPr>
        <w:t>负责设备及系统的整体安装调试与对接工作，并应承诺所提供的阅览灯等设备及管理系统能与本馆现有管理系统进行无缝对接，实现联动。</w:t>
      </w:r>
    </w:p>
    <w:p w14:paraId="60DC06F5">
      <w:pPr>
        <w:pStyle w:val="2"/>
        <w:rPr>
          <w:rFonts w:hint="eastAsia"/>
          <w:sz w:val="24"/>
          <w:highlight w:val="none"/>
        </w:rPr>
      </w:pPr>
      <w:r>
        <w:rPr>
          <w:rFonts w:hint="eastAsia"/>
          <w:sz w:val="24"/>
          <w:highlight w:val="none"/>
          <w:lang w:val="en-US" w:eastAsia="zh-CN"/>
        </w:rPr>
        <w:t>5</w:t>
      </w:r>
      <w:r>
        <w:rPr>
          <w:rFonts w:hint="eastAsia"/>
          <w:sz w:val="24"/>
          <w:highlight w:val="none"/>
        </w:rPr>
        <w:t>.  本项目为交钥匙工程，中标供应商需完成投标文件的全部内容，需方不再支付任何其他费用。</w:t>
      </w:r>
    </w:p>
    <w:p w14:paraId="3772ED76">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（三）交货要求</w:t>
      </w:r>
    </w:p>
    <w:p w14:paraId="73BAE14A">
      <w:pPr>
        <w:autoSpaceDE w:val="0"/>
        <w:autoSpaceDN w:val="0"/>
        <w:adjustRightInd w:val="0"/>
        <w:spacing w:line="360" w:lineRule="auto"/>
        <w:ind w:firstLine="480" w:firstLineChars="200"/>
        <w:rPr>
          <w:sz w:val="24"/>
          <w:highlight w:val="none"/>
        </w:rPr>
      </w:pPr>
      <w:r>
        <w:rPr>
          <w:rFonts w:hint="eastAsia"/>
          <w:sz w:val="24"/>
          <w:highlight w:val="none"/>
        </w:rPr>
        <w:t>1. 交货期：</w:t>
      </w:r>
    </w:p>
    <w:p w14:paraId="088C5328">
      <w:pPr>
        <w:autoSpaceDE w:val="0"/>
        <w:autoSpaceDN w:val="0"/>
        <w:adjustRightInd w:val="0"/>
        <w:spacing w:line="360" w:lineRule="auto"/>
        <w:ind w:firstLine="480" w:firstLineChars="200"/>
        <w:rPr>
          <w:sz w:val="24"/>
          <w:highlight w:val="none"/>
        </w:rPr>
      </w:pPr>
      <w:r>
        <w:rPr>
          <w:rFonts w:hint="eastAsia"/>
          <w:sz w:val="24"/>
          <w:highlight w:val="none"/>
        </w:rPr>
        <w:t>货到时间：签订合同之日起</w:t>
      </w:r>
      <w:r>
        <w:rPr>
          <w:rFonts w:hint="eastAsia"/>
          <w:sz w:val="24"/>
          <w:highlight w:val="none"/>
          <w:lang w:val="en-US" w:eastAsia="zh-CN"/>
        </w:rPr>
        <w:t>30</w:t>
      </w:r>
      <w:r>
        <w:rPr>
          <w:rFonts w:hint="eastAsia"/>
          <w:sz w:val="24"/>
          <w:highlight w:val="none"/>
        </w:rPr>
        <w:t>日内（特殊情况以合同为准）。</w:t>
      </w:r>
    </w:p>
    <w:p w14:paraId="22CD61A5">
      <w:pPr>
        <w:autoSpaceDE w:val="0"/>
        <w:autoSpaceDN w:val="0"/>
        <w:adjustRightInd w:val="0"/>
        <w:spacing w:line="360" w:lineRule="auto"/>
        <w:ind w:firstLine="480" w:firstLineChars="200"/>
        <w:rPr>
          <w:sz w:val="24"/>
          <w:highlight w:val="none"/>
        </w:rPr>
      </w:pPr>
      <w:r>
        <w:rPr>
          <w:rFonts w:hint="eastAsia"/>
          <w:sz w:val="24"/>
          <w:highlight w:val="none"/>
        </w:rPr>
        <w:t>安装调试完成：货到之日起30日内（特殊情况以合同为准）。</w:t>
      </w:r>
    </w:p>
    <w:p w14:paraId="249ECB43">
      <w:pPr>
        <w:autoSpaceDE w:val="0"/>
        <w:autoSpaceDN w:val="0"/>
        <w:adjustRightInd w:val="0"/>
        <w:spacing w:line="360" w:lineRule="auto"/>
        <w:ind w:firstLine="480" w:firstLineChars="200"/>
        <w:rPr>
          <w:sz w:val="24"/>
          <w:highlight w:val="none"/>
        </w:rPr>
      </w:pPr>
      <w:r>
        <w:rPr>
          <w:rFonts w:hint="eastAsia"/>
          <w:sz w:val="24"/>
          <w:highlight w:val="none"/>
        </w:rPr>
        <w:t>2. 交货地点：天津市</w:t>
      </w:r>
      <w:r>
        <w:rPr>
          <w:rFonts w:hint="eastAsia"/>
          <w:sz w:val="24"/>
          <w:highlight w:val="none"/>
          <w:lang w:val="en-US" w:eastAsia="zh-CN"/>
        </w:rPr>
        <w:t>北辰区光荣道409号天津商业大学图书馆</w:t>
      </w:r>
      <w:r>
        <w:rPr>
          <w:rFonts w:hint="eastAsia"/>
          <w:sz w:val="24"/>
          <w:highlight w:val="none"/>
        </w:rPr>
        <w:t>（特殊情况以合同为准）。</w:t>
      </w:r>
    </w:p>
    <w:p w14:paraId="551C0EB4">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3. 提供制造商完整的随机资料，包括完整的使用和维修手册等。</w:t>
      </w:r>
    </w:p>
    <w:p w14:paraId="0BC464B3">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4. 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07F0D34E">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（四）付款方式</w:t>
      </w:r>
    </w:p>
    <w:p w14:paraId="05BEAA68">
      <w:pPr>
        <w:tabs>
          <w:tab w:val="left" w:pos="360"/>
        </w:tabs>
        <w:snapToGrid w:val="0"/>
        <w:spacing w:line="480" w:lineRule="exact"/>
        <w:ind w:firstLine="480" w:firstLineChars="200"/>
        <w:jc w:val="left"/>
        <w:rPr>
          <w:sz w:val="24"/>
          <w:highlight w:val="none"/>
        </w:rPr>
      </w:pPr>
      <w:r>
        <w:rPr>
          <w:rFonts w:hint="eastAsia" w:ascii="宋体" w:hAnsi="宋体" w:cs="宋体"/>
          <w:sz w:val="24"/>
          <w:szCs w:val="24"/>
        </w:rPr>
        <w:t>自合同签订之日起，10个工作日内支付合同款的30%，所有货物安装调试使用无质量问题，并验收合格后，10个工作日内支付合同款的70%。</w:t>
      </w:r>
      <w:r>
        <w:rPr>
          <w:rFonts w:hint="eastAsia"/>
          <w:sz w:val="24"/>
        </w:rPr>
        <w:t>同时签订合同后1</w:t>
      </w:r>
      <w:r>
        <w:rPr>
          <w:rFonts w:hint="eastAsia"/>
          <w:sz w:val="24"/>
          <w:lang w:val="en-US" w:eastAsia="zh-CN"/>
        </w:rPr>
        <w:t>0</w:t>
      </w:r>
      <w:r>
        <w:rPr>
          <w:rFonts w:hint="eastAsia"/>
          <w:sz w:val="24"/>
        </w:rPr>
        <w:t>个工作日内供方需按照合同总额的10%向需方缴纳履约保证金，履约保证金可采取银行保函、支票、汇票、本票等非现金形式，履约保证金</w:t>
      </w:r>
      <w:r>
        <w:rPr>
          <w:rFonts w:hint="eastAsia" w:ascii="宋体" w:hAnsi="宋体" w:cs="宋体"/>
          <w:sz w:val="24"/>
          <w:szCs w:val="24"/>
        </w:rPr>
        <w:t>期限自合同生效之日起，至项目验收合格满一年，且需方出具运行一年无问题的报告后30日内无息返还。</w:t>
      </w:r>
    </w:p>
    <w:p w14:paraId="65F6DAD2">
      <w:pPr>
        <w:autoSpaceDE w:val="0"/>
        <w:autoSpaceDN w:val="0"/>
        <w:adjustRightInd w:val="0"/>
        <w:spacing w:line="360" w:lineRule="auto"/>
        <w:ind w:firstLine="480" w:firstLineChars="200"/>
        <w:rPr>
          <w:color w:val="000000"/>
          <w:sz w:val="24"/>
          <w:highlight w:val="none"/>
        </w:rPr>
      </w:pPr>
      <w:r>
        <w:rPr>
          <w:rFonts w:hint="eastAsia"/>
          <w:color w:val="000000"/>
          <w:sz w:val="24"/>
          <w:highlight w:val="none"/>
        </w:rPr>
        <w:t>（</w:t>
      </w:r>
      <w:r>
        <w:rPr>
          <w:rFonts w:hint="eastAsia"/>
          <w:color w:val="000000"/>
          <w:sz w:val="24"/>
          <w:highlight w:val="none"/>
          <w:lang w:val="en-US" w:eastAsia="zh-CN"/>
        </w:rPr>
        <w:t>五</w:t>
      </w:r>
      <w:r>
        <w:rPr>
          <w:rFonts w:hint="eastAsia"/>
          <w:color w:val="000000"/>
          <w:sz w:val="24"/>
          <w:highlight w:val="none"/>
        </w:rPr>
        <w:t>）验收方法及标准</w:t>
      </w:r>
    </w:p>
    <w:p w14:paraId="1AE20CD1">
      <w:pPr>
        <w:autoSpaceDE w:val="0"/>
        <w:autoSpaceDN w:val="0"/>
        <w:adjustRightInd w:val="0"/>
        <w:spacing w:line="360" w:lineRule="auto"/>
        <w:ind w:firstLine="480" w:firstLineChars="200"/>
        <w:rPr>
          <w:sz w:val="24"/>
          <w:highlight w:val="none"/>
        </w:rPr>
      </w:pPr>
      <w:r>
        <w:rPr>
          <w:rFonts w:hint="eastAsia"/>
          <w:sz w:val="24"/>
          <w:highlight w:val="none"/>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bookmarkEnd w:id="0"/>
    <w:p w14:paraId="119551A8">
      <w:pPr>
        <w:rPr>
          <w:rFonts w:hint="eastAsia" w:ascii="仿宋_GB2312" w:eastAsia="仿宋_GB2312"/>
          <w:color w:val="000000"/>
          <w:sz w:val="32"/>
          <w:szCs w:val="32"/>
        </w:rPr>
      </w:pPr>
    </w:p>
    <w:sectPr>
      <w:footerReference r:id="rId3" w:type="default"/>
      <w:footerReference r:id="rId4" w:type="even"/>
      <w:pgSz w:w="11906" w:h="16838"/>
      <w:pgMar w:top="2098" w:right="1474" w:bottom="1985" w:left="1588" w:header="851" w:footer="158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C0F56B-96F9-43B7-A9CF-F2AD6F547F4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rif">
    <w:altName w:val="GWZT-EN"/>
    <w:panose1 w:val="00000000000000000000"/>
    <w:charset w:val="00"/>
    <w:family w:val="auto"/>
    <w:pitch w:val="default"/>
    <w:sig w:usb0="00000000" w:usb1="00000000" w:usb2="00000000" w:usb3="00000000" w:csb0="00040001" w:csb1="00000000"/>
  </w:font>
  <w:font w:name="GWZT-EN">
    <w:panose1 w:val="02020400000000000000"/>
    <w:charset w:val="86"/>
    <w:family w:val="auto"/>
    <w:pitch w:val="default"/>
    <w:sig w:usb0="A00002BF" w:usb1="38CF7CFA" w:usb2="00082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04F4E995-8A84-45C2-87FD-00991B59DA87}"/>
  </w:font>
  <w:font w:name="仿宋_GB2312">
    <w:panose1 w:val="02010609030101010101"/>
    <w:charset w:val="86"/>
    <w:family w:val="modern"/>
    <w:pitch w:val="default"/>
    <w:sig w:usb0="00000001" w:usb1="080E0000" w:usb2="00000000" w:usb3="00000000" w:csb0="00040000" w:csb1="00000000"/>
    <w:embedRegular r:id="rId3" w:fontKey="{4BAEDD60-9F86-48C0-80A1-963B4989DEE8}"/>
  </w:font>
  <w:font w:name="楷体">
    <w:panose1 w:val="02010609060101010101"/>
    <w:charset w:val="86"/>
    <w:family w:val="modern"/>
    <w:pitch w:val="default"/>
    <w:sig w:usb0="800002BF" w:usb1="38CF7CFA" w:usb2="00000016" w:usb3="00000000" w:csb0="00040001" w:csb1="00000000"/>
    <w:embedRegular r:id="rId4" w:fontKey="{3A434AD0-E1CF-4521-828B-A65834B438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A66ED">
    <w:pPr>
      <w:pStyle w:val="5"/>
      <w:framePr w:wrap="around" w:vAnchor="text" w:hAnchor="margin" w:xAlign="outside" w:y="1"/>
      <w:rPr>
        <w:rStyle w:val="11"/>
        <w:rFonts w:hint="eastAsia"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33</w:t>
    </w:r>
    <w:r>
      <w:rPr>
        <w:rFonts w:ascii="宋体" w:hAnsi="宋体"/>
        <w:sz w:val="28"/>
        <w:szCs w:val="28"/>
      </w:rPr>
      <w:fldChar w:fldCharType="end"/>
    </w:r>
    <w:r>
      <w:rPr>
        <w:rStyle w:val="11"/>
        <w:rFonts w:hint="eastAsia" w:ascii="宋体" w:hAnsi="宋体"/>
        <w:sz w:val="28"/>
        <w:szCs w:val="28"/>
      </w:rPr>
      <w:t xml:space="preserve"> — </w:t>
    </w:r>
  </w:p>
  <w:p w14:paraId="59A4C0B7">
    <w:pPr>
      <w:pStyle w:val="5"/>
      <w:ind w:right="360" w:firstLine="360"/>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B5F79">
    <w:pPr>
      <w:pStyle w:val="5"/>
      <w:framePr w:wrap="around" w:vAnchor="text" w:hAnchor="margin" w:xAlign="outside" w:y="1"/>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32</w:t>
    </w:r>
    <w:r>
      <w:rPr>
        <w:rFonts w:ascii="宋体" w:hAnsi="宋体"/>
        <w:sz w:val="28"/>
        <w:szCs w:val="28"/>
      </w:rPr>
      <w:fldChar w:fldCharType="end"/>
    </w:r>
    <w:r>
      <w:rPr>
        <w:rStyle w:val="11"/>
        <w:rFonts w:hint="eastAsia" w:ascii="宋体" w:hAnsi="宋体"/>
        <w:sz w:val="28"/>
        <w:szCs w:val="28"/>
      </w:rPr>
      <w:t xml:space="preserve"> —</w:t>
    </w:r>
  </w:p>
  <w:p w14:paraId="41B2CBBA">
    <w:pPr>
      <w:pStyle w:val="5"/>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B9A40A"/>
    <w:multiLevelType w:val="singleLevel"/>
    <w:tmpl w:val="47B9A40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877"/>
    <w:rsid w:val="00021224"/>
    <w:rsid w:val="000311FD"/>
    <w:rsid w:val="00154DF5"/>
    <w:rsid w:val="00175816"/>
    <w:rsid w:val="0017709A"/>
    <w:rsid w:val="001A6F93"/>
    <w:rsid w:val="001C5914"/>
    <w:rsid w:val="002678A2"/>
    <w:rsid w:val="002964A8"/>
    <w:rsid w:val="00321278"/>
    <w:rsid w:val="00427428"/>
    <w:rsid w:val="004978DB"/>
    <w:rsid w:val="004A0291"/>
    <w:rsid w:val="00506D54"/>
    <w:rsid w:val="005545EC"/>
    <w:rsid w:val="00595137"/>
    <w:rsid w:val="00601EDD"/>
    <w:rsid w:val="006F0877"/>
    <w:rsid w:val="00721F76"/>
    <w:rsid w:val="0080466B"/>
    <w:rsid w:val="00814F5F"/>
    <w:rsid w:val="00823618"/>
    <w:rsid w:val="00840D73"/>
    <w:rsid w:val="0087065E"/>
    <w:rsid w:val="0089598D"/>
    <w:rsid w:val="00A63E98"/>
    <w:rsid w:val="00CB7952"/>
    <w:rsid w:val="00CD2662"/>
    <w:rsid w:val="00CD725F"/>
    <w:rsid w:val="00D3294B"/>
    <w:rsid w:val="00EB34AE"/>
    <w:rsid w:val="00FC3796"/>
    <w:rsid w:val="02C2110E"/>
    <w:rsid w:val="032E15F5"/>
    <w:rsid w:val="07CE79B1"/>
    <w:rsid w:val="07E06245"/>
    <w:rsid w:val="08744C38"/>
    <w:rsid w:val="0BBC1FB1"/>
    <w:rsid w:val="1254771D"/>
    <w:rsid w:val="173E1742"/>
    <w:rsid w:val="17C362EA"/>
    <w:rsid w:val="1DCB9AB2"/>
    <w:rsid w:val="22EB2532"/>
    <w:rsid w:val="386341A5"/>
    <w:rsid w:val="3BFF4BD0"/>
    <w:rsid w:val="3FF74091"/>
    <w:rsid w:val="42F97B4F"/>
    <w:rsid w:val="48C90B61"/>
    <w:rsid w:val="4CC808C5"/>
    <w:rsid w:val="4F8E345D"/>
    <w:rsid w:val="5EA031AD"/>
    <w:rsid w:val="615477C1"/>
    <w:rsid w:val="61BF0F12"/>
    <w:rsid w:val="67FB72EE"/>
    <w:rsid w:val="6CD550FC"/>
    <w:rsid w:val="70637DDB"/>
    <w:rsid w:val="7FBBB80F"/>
    <w:rsid w:val="D8DD4955"/>
    <w:rsid w:val="ED4F43D5"/>
    <w:rsid w:val="EFF3ED88"/>
    <w:rsid w:val="FFDAB3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1648" w:firstLineChars="200"/>
    </w:pPr>
    <w:rPr>
      <w:sz w:val="32"/>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8"/>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qFormat/>
    <w:uiPriority w:val="0"/>
    <w:rPr>
      <w:b/>
    </w:rPr>
  </w:style>
  <w:style w:type="character" w:styleId="11">
    <w:name w:val="page number"/>
    <w:qFormat/>
    <w:uiPriority w:val="0"/>
  </w:style>
  <w:style w:type="character" w:styleId="12">
    <w:name w:val="FollowedHyperlink"/>
    <w:qFormat/>
    <w:uiPriority w:val="0"/>
    <w:rPr>
      <w:color w:val="800080"/>
      <w:u w:val="none"/>
    </w:rPr>
  </w:style>
  <w:style w:type="character" w:styleId="13">
    <w:name w:val="HTML Definition"/>
    <w:qFormat/>
    <w:uiPriority w:val="0"/>
    <w:rPr>
      <w:i/>
    </w:rPr>
  </w:style>
  <w:style w:type="character" w:styleId="14">
    <w:name w:val="Hyperlink"/>
    <w:qFormat/>
    <w:uiPriority w:val="0"/>
    <w:rPr>
      <w:color w:val="0000FF"/>
      <w:u w:val="none"/>
    </w:rPr>
  </w:style>
  <w:style w:type="character" w:styleId="15">
    <w:name w:val="HTML Code"/>
    <w:qFormat/>
    <w:uiPriority w:val="0"/>
    <w:rPr>
      <w:rFonts w:ascii="serif" w:hAnsi="serif" w:eastAsia="serif" w:cs="serif"/>
      <w:sz w:val="21"/>
      <w:szCs w:val="21"/>
    </w:rPr>
  </w:style>
  <w:style w:type="character" w:styleId="16">
    <w:name w:val="HTML Keyboard"/>
    <w:qFormat/>
    <w:uiPriority w:val="0"/>
    <w:rPr>
      <w:rFonts w:hint="default" w:ascii="serif" w:hAnsi="serif" w:eastAsia="serif" w:cs="serif"/>
      <w:sz w:val="21"/>
      <w:szCs w:val="21"/>
    </w:rPr>
  </w:style>
  <w:style w:type="character" w:styleId="17">
    <w:name w:val="HTML Sample"/>
    <w:qFormat/>
    <w:uiPriority w:val="0"/>
    <w:rPr>
      <w:rFonts w:hint="default" w:ascii="serif" w:hAnsi="serif" w:eastAsia="serif" w:cs="serif"/>
      <w:sz w:val="21"/>
      <w:szCs w:val="21"/>
    </w:rPr>
  </w:style>
  <w:style w:type="character" w:customStyle="1" w:styleId="18">
    <w:name w:val="页脚 字符"/>
    <w:link w:val="5"/>
    <w:qFormat/>
    <w:uiPriority w:val="99"/>
    <w:rPr>
      <w:kern w:val="2"/>
      <w:sz w:val="18"/>
      <w:szCs w:val="18"/>
    </w:rPr>
  </w:style>
  <w:style w:type="character" w:customStyle="1" w:styleId="19">
    <w:name w:val="first-child"/>
    <w:qFormat/>
    <w:uiPriority w:val="0"/>
  </w:style>
  <w:style w:type="character" w:customStyle="1" w:styleId="20">
    <w:name w:val="required"/>
    <w:qFormat/>
    <w:uiPriority w:val="0"/>
    <w:rPr>
      <w:color w:val="FF0000"/>
    </w:rPr>
  </w:style>
  <w:style w:type="character" w:customStyle="1" w:styleId="21">
    <w:name w:val="first-child1"/>
    <w:qFormat/>
    <w:uiPriority w:val="0"/>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7</Pages>
  <Words>4737</Words>
  <Characters>5547</Characters>
  <Lines>87</Lines>
  <Paragraphs>24</Paragraphs>
  <TotalTime>0</TotalTime>
  <ScaleCrop>false</ScaleCrop>
  <LinksUpToDate>false</LinksUpToDate>
  <CharactersWithSpaces>5671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2021-07-24T09:23:00Z</dcterms:created>
  <dc:creator>MC SYSTEM</dc:creator>
  <cp:lastModifiedBy>李波</cp:lastModifiedBy>
  <cp:lastPrinted>2021-07-24T09:17:00Z</cp:lastPrinted>
  <dcterms:modified xsi:type="dcterms:W3CDTF">2026-04-28T08:24:02Z</dcterms:modified>
  <dc:title>厦财采〔2021〕9号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7A2FD6F2BD5345AE998B9EE981CA4777_13</vt:lpwstr>
  </property>
  <property fmtid="{D5CDD505-2E9C-101B-9397-08002B2CF9AE}" pid="4" name="KSOTemplateDocerSaveRecord">
    <vt:lpwstr>eyJoZGlkIjoiNzRhYmZiZjhhOWI5Y2Q5MTM0ZmNhZWE5N2I4Zjk1ZTAiLCJ1c2VySWQiOiIxNjg3ODU3NjU4In0=</vt:lpwstr>
  </property>
</Properties>
</file>